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74D227BB"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widowControl w:val="0"/>
        <w:pBdr>
          <w:bottom w:val="nil" w:sz="0" w:space="0" w:shadow="0" w:frame="0" w:color="000000"/>
          <w:left w:val="nil" w:sz="0" w:space="0" w:shadow="0" w:frame="0" w:color="000000"/>
          <w:right w:val="nil" w:sz="0" w:space="0" w:shadow="0" w:frame="0" w:color="000000"/>
          <w:top w:val="nil" w:sz="0" w:space="0" w:shadow="0" w:frame="0" w:color="000000"/>
        </w:pBdr>
        <w:rPr>
          <w:b w:val="1"/>
        </w:rPr>
      </w:pPr>
      <w:r>
        <w:rPr>
          <w:b w:val="1"/>
        </w:rPr>
        <w:t>ΤΕΧΝΙΚΕΣ ΠΡΟΔΙΑΓΡΑΦΕΣ ΓΙΑ ΠΡΟΧΕΙΡΟ ΔΙΑΓΩΝΙΣΜΟ ΠΑΡΟΧΗΣ ΥΠΗΡΕΣΙΩΝ ΓΙΑ ΤΗΝ ΤΗΛΕΟΠΤΙΚΗ ΚΑΛΥΨΗ ΟΚΤΩ ΕΚΔΗΛΩΣΕΩΝ ΤΗΣ ΒΟΥΛΗΣ ΜΕ ΔΟΡΥΦΟΡΙΚΗ ΕΚΠΟΜΠΗ.</w:t>
      </w:r>
    </w:p>
    <w:p>
      <w:pPr>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r>
        <w:t xml:space="preserve">Η Βουλή των Ελλήνων επιθυμεί να προχωρήσει σε πρόχειρο διαγωνισμό για την κάλυψη οκτώ εκδηλώσεων του Εθνικού Θεάτρου με πεντακάμερο υψηλής ευκρίνειας  ΟΒ-VAN και UPLINK για τη δορυφορική μετάδοση στο δορυφόρο HELLAS-SAT για το διάστημα 2018-2019 και για την περιοχή των Αθηνών. Η μετάδοση θα είναι σε υψηλή ευκρίνεια (HD 1080i) και το σύνολο της προσφερόμενης προσφοράς μαζί με την δορυφορική μετάδοση εκτός του κόστους του δορυφόρου θα φτάνει το ποσό των 60.000 Ευρώ χωρίς Φ.Π.Α.Ο μειοδότης θα είναι αυτός που θα προσφέρει την οικονομικότερη συμφέρουσα προσφορά ανά εκδήλωση.</w:t>
      </w:r>
    </w:p>
    <w:p>
      <w:pPr>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widowControl w:val="0"/>
        <w:pBdr>
          <w:bottom w:val="nil" w:sz="0" w:space="0" w:shadow="0" w:frame="0" w:color="000000"/>
          <w:left w:val="nil" w:sz="0" w:space="0" w:shadow="0" w:frame="0" w:color="000000"/>
          <w:right w:val="nil" w:sz="0" w:space="0" w:shadow="0" w:frame="0" w:color="000000"/>
          <w:top w:val="nil" w:sz="0" w:space="0" w:shadow="0" w:frame="0" w:color="000000"/>
        </w:pBdr>
        <w:rPr>
          <w:b w:val="1"/>
          <w:u w:val="single"/>
        </w:rPr>
      </w:pPr>
      <w:r>
        <w:rPr>
          <w:b w:val="1"/>
          <w:u w:val="single"/>
        </w:rPr>
        <w:t>ΤΕΧΝΙΚΕΣ ΠΡΟΔΙΑΓΡΑΦΕΣ OB-VAN</w:t>
      </w:r>
    </w:p>
    <w:p>
      <w:pPr>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r>
        <w:t xml:space="preserve">To ΟΒ-VAN θα πρέπει να διαθέτει όλη την αλυσίδα της παραγωγής εικόνας σε υψηλής ευκρίνειας (1080i) στάνταρντ  . Θα πρέπει να διαθέτει :</w:t>
      </w: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 xml:space="preserve">5 κάμερες ιδίου τύπου ,broadcast 2/3’’ CMOS ή CCD σε φορμάτ HD (1080i) σύγχρονης τεχνολογίας που να συνδέονται με triax ή fiber καλώδια με τoυς σταθμούς βάσεως τους  (CCU)  .Τα CCU θα πρέπει να διαθέτουν και τα αντίστοιχα χειριστήρια τους OCP.</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 xml:space="preserve">Οι κάμερες θα πρέπει να διαθέτουν  φακούς  τύπου broadcast με τουλάχιστον δύο τηλεφακούς 20x και άνω και δύο ευρυγώνιους φακούς τουλάχιστον. </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 xml:space="preserve">Το VAN θα πρέπει να διαθέτει τράπεζα μίξης εικόνας υψηλής ευκρίνειας HD τουλάχιστον 8 εισόδων. </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Θα πρέπει να διαθέτει τράπεζα μίξης ήχου σύγχρονης τεχνολογίας 16 τουλάχιστον εισόδων mic/line.</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To VAN θα πρέπει να διαθέτει όλο τον απαραίτητο εξοπλισμό διανομής (DA’s) εικόνας και ήχου, ενδοεπικοινωνίας ,γεννήτριας</w:t>
      </w:r>
      <w:bookmarkStart w:id="0" w:name="_GoBack"/>
      <w:bookmarkEnd w:id="0"/>
      <w:r>
        <w:t xml:space="preserve"> συγχρονισμού παλμών (SPG) εγκατεστημένο σε ικριώματα (RACK)</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 xml:space="preserve">H εγγραφή θα γίνεται σε ψηφιακή μορφή και θα παραδοθεί σε υψηλής ανάλυσης  ψηφιακό αρχείο.</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Επίσης θα πρέπει να διαθέτει καλώδια εικόνας και ήχου τουλάχιστον 100 μέτρα για τη διασύνδεση με τις τεχνικές εγκαταστάσεις του Εθνικού Θεάτρου.</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1"/>
        </w:numPr>
      </w:pPr>
      <w:r>
        <w:t>Η έξοδος του OBVAN θα πρέπει να είναι HD-SDI embedded audio.</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rPr>
          <w:b w:val="1"/>
          <w:u w:val="single"/>
        </w:rPr>
      </w:pPr>
      <w:r>
        <w:rPr>
          <w:b w:val="1"/>
          <w:u w:val="single"/>
        </w:rPr>
        <w:t>ΤΕΧΝΙΚΕΣ ΠΡΟΔΙΑΓΡΑΦΕΣ UPLINK</w:t>
      </w: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2"/>
        </w:numPr>
      </w:pPr>
      <w:r>
        <w:t>To uplink θα πρέπει να διαθέτει σύστημα full reduntant τόσο σε ενισχυτές HPA’s , Upconverters ,όσο και σε κωδικοποιητές encoders που να διαθέτουν δυνατότητα κλειδώματος του σήματος με biss encryption για τη μετάδοση του παραγομένου HD σήματος από το VAN.</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2"/>
        </w:numPr>
      </w:pPr>
      <w:r>
        <w:t xml:space="preserve"> Η μετάδοση θα γίνεται στο δορυφόρο ABS 3A 3W σε αναμεταδότη εύρους 9 MHz  με διαμόρφωση  8PSK DVBS2 με δυνατότητα εκπομπής στην μπάντα  Extended Ku (13,75-14 GHz).</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2"/>
        </w:numPr>
      </w:pPr>
      <w:r>
        <w:t xml:space="preserve">H εκπεμπόμενη ισχύς (E.I.R.P ) θα πρέπει να είναι ελάχιστη 60  dbW με cross – polar feed.</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2"/>
        </w:numPr>
      </w:pPr>
      <w:r>
        <w:t xml:space="preserve">H διάμετρος κατόπτρου εκπομπής  να είναι 1,2 μέτρα </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2"/>
        </w:numPr>
      </w:pPr>
      <w:r>
        <w:t>Επίσης το δορυφορικό όχημα θα πρέπει να διαθέτει το σύνολο των απαιτούμενων οργάνων μέτρησης σημάτων πεδιόμετρο ή αναλυτή φάσματος (spectrum analyser), παλμογράφου και ενδείκτη ήχου .</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2"/>
        </w:numPr>
      </w:pPr>
      <w:r>
        <w:t>Όλος ο εξοπλισμός θα πρέπει να είναι εγκατεστημένος σε όχημα ειδικά διασκευασμένο.</w:t>
      </w:r>
    </w:p>
    <w:p>
      <w:pPr>
        <w:pStyle w:val="P10"/>
        <w:jc w:val="both"/>
        <w:widowControl w:val="0"/>
        <w:pBdr>
          <w:bottom w:val="nil" w:sz="0" w:space="0" w:shadow="0" w:frame="0" w:color="000000"/>
          <w:left w:val="nil" w:sz="0" w:space="0" w:shadow="0" w:frame="0" w:color="000000"/>
          <w:right w:val="nil" w:sz="0" w:space="0" w:shadow="0" w:frame="0" w:color="000000"/>
          <w:top w:val="nil" w:sz="0" w:space="0" w:shadow="0" w:frame="0" w:color="000000"/>
        </w:pBdr>
        <w:numPr>
          <w:ilvl w:val="0"/>
          <w:numId w:val="2"/>
        </w:numPr>
      </w:pPr>
      <w:r>
        <w:t xml:space="preserve">Να διαθέτει δορυφορικό δέκτη για τη λήψη  του εκπεμπόμενου σήματος</w:t>
      </w: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r>
        <w:t>Επίσης στη συνολική προσφορά θα πρέπει να συνυπολογιστεί και το κόστος χρήσης γεννήτριας ρεύματος ώστε να διασφαλιστεί η απρόσκοπτη μετάδοση τόσο για τη λειτουργία του VAN όσο και στο UPLINK.</w:t>
      </w: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pStyle w:val="P9"/>
        <w:ind w:hanging="2520" w:left="2490"/>
        <w:rPr>
          <w:rFonts w:ascii="Arial" w:hAnsi="Arial"/>
        </w:rPr>
      </w:pPr>
      <w:r>
        <w:rPr>
          <w:rFonts w:ascii="Arial" w:hAnsi="Arial"/>
          <w:b w:val="1"/>
          <w:u w:val="single"/>
        </w:rPr>
        <w:t>ΕΙΔΙΚΟΙ ΟΡΟΙ</w:t>
      </w:r>
    </w:p>
    <w:p>
      <w:pPr>
        <w:pStyle w:val="P9"/>
        <w:rPr>
          <w:rFonts w:ascii="Arial" w:hAnsi="Arial"/>
        </w:rPr>
      </w:pPr>
    </w:p>
    <w:p>
      <w:pPr>
        <w:pStyle w:val="P9"/>
        <w:spacing w:lineRule="auto" w:line="240" w:before="0" w:beforeAutospacing="0" w:afterAutospacing="0"/>
        <w:ind w:hanging="2550"/>
        <w:rPr>
          <w:rFonts w:ascii="Arial" w:hAnsi="Arial"/>
        </w:rPr>
      </w:pPr>
      <w:r>
        <w:rPr>
          <w:rFonts w:ascii="Arial" w:hAnsi="Arial"/>
        </w:rPr>
        <w:t>Ο προμηθευτής οφείλει να παραδώσει λίστα τηλεοπτικών σταθμών ή παραγωγών</w:t>
      </w:r>
    </w:p>
    <w:p>
      <w:pPr>
        <w:pStyle w:val="P9"/>
        <w:spacing w:lineRule="auto" w:line="240" w:before="0" w:beforeAutospacing="0" w:afterAutospacing="0"/>
        <w:ind w:hanging="2550"/>
        <w:rPr>
          <w:rFonts w:ascii="Arial" w:hAnsi="Arial"/>
        </w:rPr>
      </w:pPr>
      <w:r>
        <w:rPr>
          <w:rFonts w:ascii="Arial" w:hAnsi="Arial"/>
        </w:rPr>
        <w:t xml:space="preserve">όπου που έχει συνεργαστεί σε ανάλογα θέματα  με ανάλογο εξοπλισμό. Η εκτιμώμενη αξία της</w:t>
      </w:r>
    </w:p>
    <w:p>
      <w:pPr>
        <w:pStyle w:val="P9"/>
        <w:spacing w:lineRule="auto" w:line="240" w:before="0" w:beforeAutospacing="0" w:afterAutospacing="0"/>
        <w:ind w:hanging="2550"/>
        <w:rPr>
          <w:rFonts w:ascii="Arial" w:hAnsi="Arial"/>
        </w:rPr>
      </w:pPr>
      <w:r>
        <w:rPr>
          <w:rFonts w:ascii="Arial" w:hAnsi="Arial"/>
        </w:rPr>
        <w:t>σύμβασης ανέρχεται στο ποσό των εξήντα χιλιάδων ευρώ (60.000 €), μη</w:t>
      </w:r>
    </w:p>
    <w:p>
      <w:pPr>
        <w:pStyle w:val="P9"/>
        <w:spacing w:lineRule="auto" w:line="240" w:before="0" w:beforeAutospacing="0" w:afterAutospacing="0"/>
        <w:ind w:hanging="2550"/>
        <w:rPr>
          <w:rFonts w:ascii="Arial" w:hAnsi="Arial"/>
        </w:rPr>
      </w:pPr>
      <w:r>
        <w:rPr>
          <w:rFonts w:ascii="Arial" w:hAnsi="Arial"/>
        </w:rPr>
        <w:t>συμπεριλαμβανομένου του ΦΠΑ 24%, ύψους δέκα τεσσάρων χιλιάδων τετρακοσίων</w:t>
      </w:r>
    </w:p>
    <w:p>
      <w:pPr>
        <w:pStyle w:val="P9"/>
        <w:spacing w:lineRule="auto" w:line="240" w:before="0" w:beforeAutospacing="0" w:afterAutospacing="0"/>
        <w:ind w:hanging="2550"/>
        <w:rPr>
          <w:rFonts w:ascii="Arial" w:hAnsi="Arial"/>
        </w:rPr>
      </w:pPr>
      <w:r>
        <w:rPr>
          <w:rFonts w:ascii="Arial" w:hAnsi="Arial"/>
        </w:rPr>
        <w:t>ευρώ (14.400 €).</w:t>
      </w:r>
    </w:p>
    <w:p>
      <w:pPr>
        <w:pStyle w:val="P9"/>
        <w:spacing w:lineRule="auto" w:line="240" w:beforeAutospacing="0" w:afterAutospacing="0"/>
        <w:ind w:firstLine="0" w:left="0"/>
        <w:rPr>
          <w:rFonts w:ascii="Arial" w:hAnsi="Arial"/>
        </w:rPr>
      </w:pPr>
      <w:r>
        <w:rPr>
          <w:rFonts w:ascii="Arial" w:hAnsi="Arial"/>
        </w:rPr>
        <w:t xml:space="preserve">Η πληρωμή του αναδόχου θα γίνει τμηματικά έπειτα από την κάλυψη κάθε εκδήλωσης   με την προσκόμιση του σχετικού τιμολογίου. Ο ΦΠΑ θα βαρύνει τη Βουλή των Ελλήνων.</w:t>
      </w:r>
    </w:p>
    <w:p>
      <w:pPr>
        <w:pStyle w:val="P9"/>
        <w:spacing w:lineRule="auto" w:line="240" w:before="0" w:beforeAutospacing="0" w:afterAutospacing="0"/>
        <w:ind w:firstLine="0" w:left="0"/>
        <w:rPr>
          <w:rFonts w:ascii="Arial" w:hAnsi="Arial"/>
        </w:rPr>
      </w:pPr>
      <w:r>
        <w:rPr>
          <w:rFonts w:ascii="Arial" w:hAnsi="Arial"/>
        </w:rPr>
        <w:t xml:space="preserve">Με την υπογραφή της σύμβασης ανάθεσης ο ανάδοχος θα προσκομίσει εγγυητική επιστολή καλής εκτέλεσης, ποσοστού 5% επί του ποσού σύμβασης (χωρίς ΦΠΑ).Η Βουλή των Ελλήνων διατηρεί το δικαίωμα με απόφασή της, να προχωρήσει και στη ματαίωσή της σύμβασης, σε οποιοδήποτε στάδιο της διαδικασίας, χωρίς να υποχρεούται να αιτιολογήσει την απόφασή της.  </w:t>
      </w:r>
    </w:p>
    <w:p>
      <w:pPr>
        <w:pStyle w:val="P9"/>
        <w:spacing w:lineRule="auto" w:line="240" w:beforeAutospacing="0" w:afterAutospacing="0"/>
        <w:ind w:firstLine="0" w:left="0"/>
        <w:rPr>
          <w:rFonts w:ascii="Arial" w:hAnsi="Arial"/>
        </w:rPr>
      </w:pPr>
      <w:r>
        <w:rPr>
          <w:rFonts w:ascii="Arial" w:hAnsi="Arial"/>
        </w:rPr>
        <w:t>Στο προσφερόμενο ποσό θα συμπεριλαμβάνεται και το κόστος των τεχνικών που θα εργάζονται στη μετάδοση εκτός από τον σκηνοθέτη.</w:t>
      </w: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r>
        <w:t>Δημήτρης Γαλάνης</w:t>
      </w: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r>
        <w:t xml:space="preserve">Τεχνικός Προϊστάμενος </w:t>
      </w:r>
    </w:p>
    <w:p>
      <w:pPr>
        <w:jc w:val="both"/>
        <w:widowControl w:val="0"/>
        <w:pBdr>
          <w:bottom w:val="nil" w:sz="0" w:space="0" w:shadow="0" w:frame="0" w:color="000000"/>
          <w:left w:val="nil" w:sz="0" w:space="0" w:shadow="0" w:frame="0" w:color="000000"/>
          <w:right w:val="nil" w:sz="0" w:space="0" w:shadow="0" w:frame="0" w:color="000000"/>
          <w:top w:val="nil" w:sz="0" w:space="0" w:shadow="0" w:frame="0" w:color="000000"/>
        </w:pBdr>
      </w:pPr>
      <w:r>
        <w:t>Τηλεοπτικού Σταθμού</w:t>
      </w:r>
    </w:p>
    <w:sectPr>
      <w:type w:val="nextPage"/>
      <w:pgMar w:left="1440" w:right="1440" w:top="1440" w:bottom="1440" w:header="0" w:footer="720" w:gutter="0"/>
      <w:cols w:equalWidth="1" w:space="720"/>
      <w:pgNumType w:start="1" w:chapSep="period"/>
    </w:sectPr>
  </w:body>
</w:document>
</file>

<file path=word/numbering.xml><?xml version="1.0" encoding="utf-8"?>
<w:numbering xmlns:w="http://schemas.openxmlformats.org/wordprocessingml/2006/main">
  <w:abstractNum w:abstractNumId="0">
    <w:nsid w:val="15FD3B09"/>
    <w:multiLevelType w:val="hybridMultilevel"/>
    <w:lvl w:ilvl="0" w:tplc="4080001">
      <w:pPr>
        <w:ind w:hanging="360" w:left="720"/>
      </w:pPr>
      <w:rPr>
        <w:rFonts w:ascii="Symbol" w:hAnsi="Symbol"/>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abstractNum w:abstractNumId="1">
    <w:nsid w:val="35390CD1"/>
    <w:multiLevelType w:val="hybridMultilevel"/>
    <w:lvl w:ilvl="0" w:tplc="4080001">
      <w:pPr>
        <w:ind w:hanging="360" w:left="720"/>
      </w:pPr>
      <w:rPr>
        <w:rFonts w:ascii="Symbol" w:hAnsi="Symbol"/>
      </w:rPr>
      <w:lvlJc w:val="left"/>
      <w:start w:val="1"/>
      <w:numFmt w:val="bullet"/>
      <w:lvlText w:val=""/>
      <w:suff w:val="tab"/>
    </w:lvl>
    <w:lvl w:ilvl="1" w:tplc="4080003">
      <w:pPr>
        <w:ind w:hanging="360" w:left="1440"/>
      </w:pPr>
      <w:rPr>
        <w:rFonts w:ascii="Courier New" w:hAnsi="Courier New"/>
      </w:rPr>
      <w:lvlJc w:val="left"/>
      <w:start w:val="1"/>
      <w:numFmt w:val="bullet"/>
      <w:lvlText w:val="o"/>
      <w:suff w:val="tab"/>
    </w:lvl>
    <w:lvl w:ilvl="2" w:tplc="4080005">
      <w:pPr>
        <w:ind w:hanging="360" w:left="2160"/>
      </w:pPr>
      <w:rPr>
        <w:rFonts w:ascii="Wingdings" w:hAnsi="Wingdings"/>
      </w:rPr>
      <w:lvlJc w:val="left"/>
      <w:start w:val="1"/>
      <w:numFmt w:val="bullet"/>
      <w:lvlText w:val=""/>
      <w:suff w:val="tab"/>
    </w:lvl>
    <w:lvl w:ilvl="3" w:tplc="4080001">
      <w:pPr>
        <w:ind w:hanging="360" w:left="2880"/>
      </w:pPr>
      <w:rPr>
        <w:rFonts w:ascii="Symbol" w:hAnsi="Symbol"/>
      </w:rPr>
      <w:lvlJc w:val="left"/>
      <w:start w:val="1"/>
      <w:numFmt w:val="bullet"/>
      <w:lvlText w:val=""/>
      <w:suff w:val="tab"/>
    </w:lvl>
    <w:lvl w:ilvl="4" w:tplc="4080003">
      <w:pPr>
        <w:ind w:hanging="360" w:left="3600"/>
      </w:pPr>
      <w:rPr>
        <w:rFonts w:ascii="Courier New" w:hAnsi="Courier New"/>
      </w:rPr>
      <w:lvlJc w:val="left"/>
      <w:start w:val="1"/>
      <w:numFmt w:val="bullet"/>
      <w:lvlText w:val="o"/>
      <w:suff w:val="tab"/>
    </w:lvl>
    <w:lvl w:ilvl="5" w:tplc="4080005">
      <w:pPr>
        <w:ind w:hanging="360" w:left="4320"/>
      </w:pPr>
      <w:rPr>
        <w:rFonts w:ascii="Wingdings" w:hAnsi="Wingdings"/>
      </w:rPr>
      <w:lvlJc w:val="left"/>
      <w:start w:val="1"/>
      <w:numFmt w:val="bullet"/>
      <w:lvlText w:val=""/>
      <w:suff w:val="tab"/>
    </w:lvl>
    <w:lvl w:ilvl="6" w:tplc="4080001">
      <w:pPr>
        <w:ind w:hanging="360" w:left="5040"/>
      </w:pPr>
      <w:rPr>
        <w:rFonts w:ascii="Symbol" w:hAnsi="Symbol"/>
      </w:rPr>
      <w:lvlJc w:val="left"/>
      <w:start w:val="1"/>
      <w:numFmt w:val="bullet"/>
      <w:lvlText w:val=""/>
      <w:suff w:val="tab"/>
    </w:lvl>
    <w:lvl w:ilvl="7" w:tplc="4080003">
      <w:pPr>
        <w:ind w:hanging="360" w:left="5760"/>
      </w:pPr>
      <w:rPr>
        <w:rFonts w:ascii="Courier New" w:hAnsi="Courier New"/>
      </w:rPr>
      <w:lvlJc w:val="left"/>
      <w:start w:val="1"/>
      <w:numFmt w:val="bullet"/>
      <w:lvlText w:val="o"/>
      <w:suff w:val="tab"/>
    </w:lvl>
    <w:lvl w:ilvl="8" w:tplc="4080005">
      <w:pPr>
        <w:ind w:hanging="360" w:left="6480"/>
      </w:pPr>
      <w:rPr>
        <w:rFonts w:ascii="Wingdings" w:hAnsi="Wingdings"/>
      </w:rPr>
      <w:lvlJc w:val="left"/>
      <w:start w:val="1"/>
      <w:numFmt w:val="bullet"/>
      <w:lvlText w:val=""/>
      <w:suff w:val="tab"/>
    </w:lvl>
  </w:abstractNum>
  <w:num w:numId="1">
    <w:abstractNumId w:val="1"/>
  </w:num>
  <w:num w:numId="2">
    <w:abstractNumId w:val="0"/>
  </w:num>
</w:numbering>
</file>

<file path=word/settings.xml><?xml version="1.0" encoding="utf-8"?>
<w:settings xmlns:w="http://schemas.openxmlformats.org/wordprocessingml/2006/main">
  <w:autoHyphenation w:val="0"/>
  <w:defaultTabStop w:val="720"/>
  <w:evenAndOddHeaders w:val="0"/>
  <w:displayBackgroundShape w:val="0"/>
  <w:clrSchemeMapping/>
</w:settings>
</file>

<file path=word/styles.xml><?xml version="1.0" encoding="utf-8"?>
<w:styles xmlns:w="http://schemas.openxmlformats.org/wordprocessingml/2006/main">
  <w:docDefaults>
    <w:rPrDefault>
      <w:rPr>
        <w:rFonts w:ascii="Arial" w:hAnsi="Arial"/>
        <w:sz w:val="22"/>
        <w:b w:val="0"/>
        <w:i w:val="0"/>
        <w:caps w:val="0"/>
        <w:color w:val="000000"/>
        <w:vanish w:val="0"/>
        <w:u w:val="none"/>
        <w:strike w:val="0"/>
        <w:vertAlign w:val="baseline"/>
        <w:lang w:val="el-GR" w:bidi="ar-SA" w:eastAsia="el-GR"/>
        <w:noProof w:val="0"/>
      </w:rPr>
    </w:rPrDefault>
    <w:pPrDefault>
      <w:pPr>
        <w:jc w:val="left"/>
        <w:spacing w:lineRule="auto" w:line="276" w:before="0" w:after="0" w:beforeAutospacing="0" w:afterAutospacing="0"/>
        <w:ind w:firstLine="0" w:left="0" w:right="0"/>
        <w:suppressAutoHyphens w:val="0"/>
        <w:suppressLineNumbers w:val="0"/>
        <w:contextualSpacing w:val="0"/>
        <w:keepNext w:val="0"/>
        <w:keepLines w:val="0"/>
        <w:widowControl w:val="1"/>
        <w:shd w:fill="auto"/>
      </w:pPr>
    </w:pPrDefault>
  </w:docDefaults>
  <w:style w:type="paragraph" w:styleId="P0" w:default="1">
    <w:name w:val="Normal"/>
    <w:pPr/>
    <w:rPr/>
  </w:style>
  <w:style w:type="paragraph" w:styleId="P1">
    <w:name w:val="heading 1"/>
    <w:basedOn w:val="P0"/>
    <w:next w:val="P0"/>
    <w:pPr>
      <w:spacing w:before="480" w:after="120" w:beforeAutospacing="0" w:afterAutospacing="0"/>
      <w:outlineLvl w:val="0"/>
      <w:keepNext w:val="1"/>
      <w:keepLines w:val="1"/>
    </w:pPr>
    <w:rPr>
      <w:sz w:val="48"/>
      <w:b w:val="1"/>
    </w:rPr>
  </w:style>
  <w:style w:type="paragraph" w:styleId="P2">
    <w:name w:val="heading 2"/>
    <w:basedOn w:val="P0"/>
    <w:next w:val="P0"/>
    <w:pPr>
      <w:spacing w:before="360" w:after="80" w:beforeAutospacing="0" w:afterAutospacing="0"/>
      <w:outlineLvl w:val="1"/>
      <w:keepNext w:val="1"/>
      <w:keepLines w:val="1"/>
    </w:pPr>
    <w:rPr>
      <w:sz w:val="36"/>
      <w:b w:val="1"/>
    </w:rPr>
  </w:style>
  <w:style w:type="paragraph" w:styleId="P3">
    <w:name w:val="heading 3"/>
    <w:basedOn w:val="P0"/>
    <w:next w:val="P0"/>
    <w:pPr>
      <w:spacing w:before="280" w:after="80" w:beforeAutospacing="0" w:afterAutospacing="0"/>
      <w:outlineLvl w:val="2"/>
      <w:keepNext w:val="1"/>
      <w:keepLines w:val="1"/>
    </w:pPr>
    <w:rPr>
      <w:sz w:val="28"/>
      <w:b w:val="1"/>
    </w:rPr>
  </w:style>
  <w:style w:type="paragraph" w:styleId="P4">
    <w:name w:val="heading 4"/>
    <w:basedOn w:val="P0"/>
    <w:next w:val="P0"/>
    <w:pPr>
      <w:spacing w:before="240" w:after="40" w:beforeAutospacing="0" w:afterAutospacing="0"/>
      <w:outlineLvl w:val="3"/>
      <w:keepNext w:val="1"/>
      <w:keepLines w:val="1"/>
    </w:pPr>
    <w:rPr>
      <w:sz w:val="24"/>
      <w:b w:val="1"/>
    </w:rPr>
  </w:style>
  <w:style w:type="paragraph" w:styleId="P5">
    <w:name w:val="heading 5"/>
    <w:basedOn w:val="P0"/>
    <w:next w:val="P0"/>
    <w:pPr>
      <w:spacing w:before="220" w:after="40" w:beforeAutospacing="0" w:afterAutospacing="0"/>
      <w:outlineLvl w:val="4"/>
      <w:keepNext w:val="1"/>
      <w:keepLines w:val="1"/>
    </w:pPr>
    <w:rPr>
      <w:b w:val="1"/>
    </w:rPr>
  </w:style>
  <w:style w:type="paragraph" w:styleId="P6">
    <w:name w:val="heading 6"/>
    <w:basedOn w:val="P0"/>
    <w:next w:val="P0"/>
    <w:pPr>
      <w:spacing w:before="200" w:after="40" w:beforeAutospacing="0" w:afterAutospacing="0"/>
      <w:outlineLvl w:val="5"/>
      <w:keepNext w:val="1"/>
      <w:keepLines w:val="1"/>
    </w:pPr>
    <w:rPr>
      <w:sz w:val="20"/>
      <w:b w:val="1"/>
    </w:rPr>
  </w:style>
  <w:style w:type="paragraph" w:styleId="P7">
    <w:name w:val="Title"/>
    <w:basedOn w:val="P0"/>
    <w:next w:val="P0"/>
    <w:pPr>
      <w:spacing w:before="480" w:after="120" w:beforeAutospacing="0" w:afterAutospacing="0"/>
      <w:keepNext w:val="1"/>
      <w:keepLines w:val="1"/>
    </w:pPr>
    <w:rPr>
      <w:sz w:val="72"/>
      <w:b w:val="1"/>
    </w:rPr>
  </w:style>
  <w:style w:type="paragraph" w:styleId="P8">
    <w:name w:val="Subtitle"/>
    <w:basedOn w:val="P0"/>
    <w:next w:val="P0"/>
    <w:pPr>
      <w:spacing w:before="360" w:after="80" w:beforeAutospacing="0" w:afterAutospacing="0"/>
      <w:keepNext w:val="1"/>
      <w:keepLines w:val="1"/>
    </w:pPr>
    <w:rPr>
      <w:rFonts w:ascii="Georgia" w:hAnsi="Georgia"/>
      <w:sz w:val="48"/>
      <w:i w:val="1"/>
      <w:color w:val="666666"/>
    </w:rPr>
  </w:style>
  <w:style w:type="paragraph" w:styleId="P9">
    <w:name w:val="HEADER 4"/>
    <w:basedOn w:val="P0"/>
    <w:pPr>
      <w:jc w:val="both"/>
      <w:spacing w:lineRule="atLeast" w:line="100" w:before="100" w:after="100" w:beforeAutospacing="0" w:afterAutospacing="0"/>
      <w:ind w:hanging="851" w:left="2552"/>
      <w:suppressAutoHyphens w:val="1"/>
      <w:keepNext w:val="1"/>
      <w:widowControl w:val="0"/>
      <w:tabs>
        <w:tab w:val="left" w:pos="3402" w:leader="none"/>
      </w:tabs>
    </w:pPr>
    <w:rPr>
      <w:rFonts w:ascii="Calibri" w:hAnsi="Calibri"/>
      <w:lang w:bidi="hi-IN" w:eastAsia="hi-IN"/>
    </w:rPr>
  </w:style>
  <w:style w:type="paragraph" w:styleId="P10">
    <w:name w:val="List Paragraph"/>
    <w:qFormat/>
    <w:basedOn w:val="P0"/>
    <w:pPr>
      <w:ind w:left="720"/>
      <w:contextualSpacing w:val="1"/>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table" w:styleId="T0" w:default="1">
    <w:name w:val="Normal Table"/>
    <w:semiHidden w:val="1"/>
    <w:tblPr>
      <w:tblInd w:w="0" w:type="dxa"/>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trPr/>
    <w:tcPr/>
  </w:style>
  <w:style w:type="table" w:styleId="T2">
    <w:name w:val="Table Normal"/>
    <w:tblPr>
      <w:tblCellMar>
        <w:top w:w="0" w:type="dxa"/>
        <w:left w:w="0" w:type="dxa"/>
        <w:bottom w:w="0" w:type="dxa"/>
        <w:right w:w="0"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