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6FC9DEA0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bookmarkStart w:id="0" w:name="_GoBack"/>
      <w:bookmarkEnd w:id="0"/>
      <w:r>
        <w:t xml:space="preserve">Απαιτήσεις ανανέωσης-επέκτασης αδειών ΝΕΤ </w:t>
      </w:r>
      <w:r>
        <w:rPr>
          <w:lang w:val="en-US"/>
        </w:rPr>
        <w:t>BACKUP</w:t>
      </w:r>
    </w:p>
    <w:p/>
    <w:p/>
    <w:p/>
    <w:p>
      <w:r>
        <w:t xml:space="preserve">Για ανανέωση </w:t>
      </w:r>
    </w:p>
    <w:tbl>
      <w:tblPr>
        <w:tblW w:w="10003" w:type="dxa"/>
        <w:tblInd w:w="-23" w:type="dxa"/>
        <w:tblCellMar>
          <w:left w:w="0" w:type="dxa"/>
          <w:right w:w="0" w:type="dxa"/>
        </w:tblCellMar>
        <w:tblLook w:val="04A0"/>
      </w:tblPr>
      <w:tr>
        <w:trPr>
          <w:trHeight w:hRule="atLeast" w:val="900"/>
        </w:trPr>
        <w:tc>
          <w:tcPr>
            <w:tcBorders>
              <w:bottom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134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 xml:space="preserve">Ποσότητα 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7159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>Description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710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>Part Number</w:t>
            </w:r>
          </w:p>
        </w:tc>
      </w:tr>
      <w:tr>
        <w:trPr>
          <w:trHeight w:hRule="atLeast" w:val="600"/>
        </w:trPr>
        <w:tc>
          <w:tcPr>
            <w:tcBorders>
              <w:bottom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134" w:type="dxa"/>
            <w:vAlign w:val="center"/>
          </w:tcPr>
          <w:p>
            <w:pPr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3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7159" w:type="dxa"/>
            <w:vAlign w:val="center"/>
          </w:tcPr>
          <w:p>
            <w:pPr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SYMC NETBACKUP PLATFORM BASE COMPLETE EDITION 7.6 XPLAT 1 FRONT END TB RENEWAL ESSENTIAL 12 MONTHS GOV BAND S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710" w:type="dxa"/>
            <w:vAlign w:val="center"/>
          </w:tcPr>
          <w:p>
            <w:pPr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GOV MAINT</w:t>
            </w:r>
          </w:p>
        </w:tc>
      </w:tr>
    </w:tbl>
    <w:p/>
    <w:p/>
    <w:p>
      <w:r>
        <w:t>Για επέκταση</w:t>
      </w:r>
    </w:p>
    <w:tbl>
      <w:tblPr>
        <w:tblW w:w="9428" w:type="dxa"/>
        <w:tblInd w:w="-23" w:type="dxa"/>
        <w:tblCellMar>
          <w:left w:w="0" w:type="dxa"/>
          <w:right w:w="0" w:type="dxa"/>
        </w:tblCellMar>
        <w:tblLook w:val="04A0"/>
      </w:tblPr>
      <w:tr>
        <w:trPr>
          <w:trHeight w:hRule="atLeast" w:val="900"/>
        </w:trPr>
        <w:tc>
          <w:tcPr>
            <w:tcBorders>
              <w:bottom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548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>Ποσότητα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7120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>Description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760" w:type="dxa"/>
            <w:vAlign w:val="center"/>
            <w:shd w:val="clear" w:color="auto" w:fill="FFFFFF"/>
          </w:tcPr>
          <w:p>
            <w:pPr>
              <w:jc w:val="center"/>
              <w:rPr>
                <w:b w:val="1"/>
                <w:color w:val="000000"/>
                <w:lang w:eastAsia="el-GR"/>
              </w:rPr>
            </w:pPr>
            <w:r>
              <w:rPr>
                <w:b w:val="1"/>
                <w:color w:val="000000"/>
                <w:lang w:eastAsia="el-GR"/>
              </w:rPr>
              <w:t>Part Number</w:t>
            </w:r>
          </w:p>
        </w:tc>
      </w:tr>
      <w:tr>
        <w:trPr>
          <w:trHeight w:hRule="atLeast" w:val="600"/>
        </w:trPr>
        <w:tc>
          <w:tcPr>
            <w:tcBorders>
              <w:bottom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548" w:type="dxa"/>
            <w:vAlign w:val="center"/>
          </w:tcPr>
          <w:p>
            <w:pPr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3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7120" w:type="dxa"/>
            <w:vAlign w:val="center"/>
          </w:tcPr>
          <w:p>
            <w:pPr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SYMC NETBACKUP PLATFORM BASE COMPLETE EDITION 7.6 XPLAT 1 FRONT END TB STD LIC GOV BAND S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760" w:type="dxa"/>
            <w:vAlign w:val="center"/>
          </w:tcPr>
          <w:p>
            <w:pPr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ZNAMXZF4-ZZZGS</w:t>
            </w:r>
          </w:p>
        </w:tc>
      </w:tr>
      <w:tr>
        <w:trPr>
          <w:trHeight w:hRule="atLeast" w:val="600"/>
        </w:trPr>
        <w:tc>
          <w:tcPr>
            <w:tcBorders>
              <w:bottom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548" w:type="dxa"/>
            <w:vAlign w:val="center"/>
          </w:tcPr>
          <w:p>
            <w:pPr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3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7120" w:type="dxa"/>
            <w:vAlign w:val="center"/>
          </w:tcPr>
          <w:p>
            <w:pPr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SYMC NETBACKUP PLATFORM BASE COMPLETE EDITION 7.6 XPLAT 1 FRONT END TB INITIAL ESSENTIAL 12 MONTHS GOV BAND S</w:t>
            </w:r>
          </w:p>
        </w:tc>
        <w:tc>
          <w:tcPr>
            <w:tcBorders>
              <w:bottom w:val="single" w:sz="8" w:space="0" w:shadow="0" w:frame="0" w:color="000000"/>
              <w:left w:val="nil" w:sz="0" w:space="0" w:shadow="0" w:frame="0" w:color="000000"/>
              <w:right w:val="single" w:sz="8" w:space="0" w:shadow="0" w:frame="0" w:color="000000"/>
              <w:top w:val="nil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tcW w:w="1760" w:type="dxa"/>
            <w:vAlign w:val="center"/>
          </w:tcPr>
          <w:p>
            <w:pPr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ZNAMXZZ4-EI1GS</w:t>
            </w:r>
          </w:p>
        </w:tc>
      </w:tr>
      <w:tr>
        <w:trPr>
          <w:trHeight w:hRule="atLeast" w:val="300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noWrap w:val="1"/>
            <w:tcW w:w="548" w:type="dxa"/>
            <w:vAlign w:val="bottom"/>
          </w:tcPr>
          <w:p>
            <w:pPr>
              <w:rPr>
                <w:color w:val="000000"/>
                <w:lang w:eastAsia="el-GR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noWrap w:val="1"/>
            <w:tcW w:w="7120" w:type="dxa"/>
            <w:vAlign w:val="bottom"/>
          </w:tcPr>
          <w:p>
            <w:pPr>
              <w:rPr>
                <w:rFonts w:ascii="Times New Roman" w:hAnsi="Times New Roman"/>
                <w:sz w:val="20"/>
                <w:lang w:eastAsia="el-GR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 w:val="1"/>
            <w:noWrap w:val="1"/>
            <w:tcW w:w="1760" w:type="dxa"/>
            <w:vAlign w:val="bottom"/>
          </w:tcPr>
          <w:p>
            <w:pPr>
              <w:rPr>
                <w:rFonts w:ascii="Times New Roman" w:hAnsi="Times New Roman"/>
                <w:sz w:val="20"/>
                <w:lang w:eastAsia="el-GR"/>
              </w:rPr>
            </w:pPr>
          </w:p>
        </w:tc>
      </w:tr>
    </w:tbl>
    <w:p>
      <w:pPr>
        <w:rPr>
          <w:rFonts w:ascii="Century Gothic" w:hAnsi="Century Gothic"/>
          <w:sz w:val="6"/>
          <w:i w:val="1"/>
          <w:color w:val="1F497D"/>
          <w:lang w:val="en-US" w:eastAsia="el-GR"/>
        </w:rPr>
      </w:pPr>
    </w:p>
    <w:p>
      <w:pPr>
        <w:rPr>
          <w:lang w:val="en-US"/>
        </w:rPr>
      </w:pPr>
    </w:p>
    <w:sectPr>
      <w:type w:val="nextPage"/>
      <w:pgSz w:w="16838" w:h="11906" w:code="0" w:orient="landscape"/>
      <w:pgMar w:left="1440" w:right="1440" w:top="1800" w:bottom="180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highlight w:val="none"/>
        <w:vanish w:val="0"/>
        <w:u w:val="none"/>
        <w:strike w:val="0"/>
        <w:vertAlign w:val="baseline"/>
        <w:lang w:val="el-GR" w:bidi="ar-SA" w:eastAsia="el-GR"/>
        <w:noProof w:val="0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pageBreakBefore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>
      <w:rFonts w:ascii="Calibri" w:hAnsi="Calibri"/>
      <w:sz w:val="22"/>
      <w:lang w:eastAsia="en-US"/>
    </w:rPr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