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Relationship><Relationship Id="rId2" Type="http://schemas.openxmlformats.org/officeDocument/2006/relationships/extended-properties" Target="docProps/app.xml"></Relationship><Relationship Id="rId3" Type="http://schemas.openxmlformats.org/package/2006/relationships/metadata/core-properties" Target="docProps/core.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3.0.1.0 -->
  <w:body>
    <w:tbl>
      <w:tblPr>
        <w:tblW w:w="9640" w:type="dxa"/>
        <w:tblLayout w:type="fixed"/>
        <w:tblLook w:val="04A0"/>
      </w:tblPr>
      <w:tblGrid>
        <w:gridCol w:w="1531"/>
        <w:gridCol w:w="454"/>
        <w:gridCol w:w="2518"/>
        <w:gridCol w:w="1168"/>
        <w:gridCol w:w="3969"/>
      </w:tblGrid>
      <w:tr w:rsidTr="006B09E4">
        <w:tblPrEx>
          <w:tblW w:w="9640" w:type="dxa"/>
          <w:tblLayout w:type="fixed"/>
          <w:tblLook w:val="04A0"/>
        </w:tblPrEx>
        <w:tc>
          <w:tcPr>
            <w:tcW w:w="4503" w:type="dxa"/>
            <w:gridSpan w:val="3"/>
          </w:tcPr>
          <w:p w:rsidR="00D5464F" w:rsidRPr="006F2D64" w:rsidP="00D5464F">
            <w:pPr>
              <w:tabs>
                <w:tab w:val="left" w:pos="454"/>
              </w:tabs>
              <w:spacing w:after="0" w:line="240" w:lineRule="auto"/>
              <w:rPr>
                <w:b/>
                <w:sz w:val="20"/>
                <w:szCs w:val="20"/>
              </w:rPr>
            </w:pPr>
            <w:r>
              <w:rPr>
                <w:b/>
                <w:noProof/>
                <w:sz w:val="20"/>
                <w:szCs w:val="20"/>
                <w:lang w:eastAsia="el-GR"/>
              </w:rPr>
              <w:drawing>
                <wp:anchor distT="0" distB="0" distL="114300" distR="114300" simplePos="0" relativeHeight="251659264" behindDoc="1" locked="0" layoutInCell="1" allowOverlap="1">
                  <wp:simplePos x="0" y="0"/>
                  <wp:positionH relativeFrom="column">
                    <wp:posOffset>440055</wp:posOffset>
                  </wp:positionH>
                  <wp:positionV relativeFrom="paragraph">
                    <wp:posOffset>4445</wp:posOffset>
                  </wp:positionV>
                  <wp:extent cx="431800" cy="431800"/>
                  <wp:effectExtent l="0" t="0" r="0" b="0"/>
                  <wp:wrapTight wrapText="bothSides">
                    <wp:wrapPolygon>
                      <wp:start x="0" y="0"/>
                      <wp:lineTo x="0" y="20965"/>
                      <wp:lineTo x="20965" y="20965"/>
                      <wp:lineTo x="20965" y="0"/>
                      <wp:lineTo x="0" y="0"/>
                    </wp:wrapPolygon>
                  </wp:wrapTight>
                  <wp:docPr id="10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a:stretch>
                            <a:fillRect/>
                          </a:stretch>
                        </pic:blipFill>
                        <pic:spPr bwMode="auto">
                          <a:xfrm>
                            <a:off x="0" y="0"/>
                            <a:ext cx="431800" cy="431800"/>
                          </a:xfrm>
                          <a:prstGeom prst="rect">
                            <a:avLst/>
                          </a:prstGeom>
                          <a:noFill/>
                          <a:ln>
                            <a:noFill/>
                          </a:ln>
                        </pic:spPr>
                      </pic:pic>
                    </a:graphicData>
                  </a:graphic>
                </wp:anchor>
              </w:drawing>
            </w:r>
            <w:r w:rsidRPr="006F2D64">
              <w:rPr>
                <w:b/>
                <w:sz w:val="20"/>
                <w:szCs w:val="20"/>
              </w:rPr>
              <w:tab/>
            </w:r>
          </w:p>
          <w:p w:rsidR="00D5464F" w:rsidRPr="006F2D64" w:rsidP="00D5464F">
            <w:pPr>
              <w:spacing w:after="0" w:line="240" w:lineRule="auto"/>
              <w:rPr>
                <w:b/>
                <w:color w:val="1F3864"/>
                <w:sz w:val="20"/>
                <w:szCs w:val="20"/>
              </w:rPr>
            </w:pPr>
          </w:p>
          <w:p w:rsidR="00D5464F" w:rsidP="00D5464F">
            <w:pPr>
              <w:spacing w:after="0" w:line="240" w:lineRule="auto"/>
              <w:rPr>
                <w:b/>
                <w:color w:val="1F3864"/>
                <w:sz w:val="20"/>
                <w:szCs w:val="20"/>
              </w:rPr>
            </w:pPr>
          </w:p>
          <w:p w:rsidR="009D7117" w:rsidRPr="009D7117" w:rsidP="00D5464F">
            <w:pPr>
              <w:spacing w:after="0" w:line="240" w:lineRule="auto"/>
              <w:rPr>
                <w:b/>
                <w:color w:val="1F3864"/>
                <w:sz w:val="6"/>
                <w:szCs w:val="20"/>
              </w:rPr>
            </w:pPr>
          </w:p>
          <w:p w:rsidR="00D5464F" w:rsidRPr="006F2D64" w:rsidP="00D5464F">
            <w:pPr>
              <w:spacing w:after="0" w:line="240" w:lineRule="auto"/>
              <w:rPr>
                <w:b/>
                <w:color w:val="1F3864"/>
                <w:sz w:val="20"/>
                <w:szCs w:val="20"/>
              </w:rPr>
            </w:pPr>
            <w:r w:rsidRPr="006F2D64">
              <w:rPr>
                <w:b/>
                <w:color w:val="1F3864"/>
                <w:sz w:val="20"/>
                <w:szCs w:val="20"/>
              </w:rPr>
              <w:t>ΕΛΛΗΝΙΚΗ ΔΗΜΟΚΡΑΤΙΑ</w:t>
            </w:r>
          </w:p>
          <w:p w:rsidR="00D5464F" w:rsidRPr="006F2D64" w:rsidP="00D5464F">
            <w:pPr>
              <w:spacing w:after="0" w:line="240" w:lineRule="auto"/>
              <w:rPr>
                <w:b/>
                <w:color w:val="1F3864"/>
                <w:sz w:val="2"/>
                <w:szCs w:val="20"/>
              </w:rPr>
            </w:pPr>
          </w:p>
          <w:p w:rsidR="00D5464F" w:rsidRPr="006F2D64" w:rsidP="00D5464F">
            <w:pPr>
              <w:spacing w:before="120" w:after="120" w:line="240" w:lineRule="auto"/>
              <w:rPr>
                <w:color w:val="1F3864"/>
                <w:sz w:val="20"/>
                <w:szCs w:val="20"/>
              </w:rPr>
            </w:pPr>
            <w:r>
              <w:rPr>
                <w:b/>
                <w:noProof/>
                <w:sz w:val="20"/>
                <w:szCs w:val="20"/>
                <w:lang w:eastAsia="el-GR"/>
              </w:rPr>
              <w:drawing>
                <wp:anchor distT="0" distB="0" distL="114300" distR="114300" simplePos="0" relativeHeight="251658240" behindDoc="0" locked="0" layoutInCell="1" allowOverlap="1">
                  <wp:simplePos x="0" y="0"/>
                  <wp:positionH relativeFrom="column">
                    <wp:posOffset>1905</wp:posOffset>
                  </wp:positionH>
                  <wp:positionV relativeFrom="paragraph">
                    <wp:posOffset>22225</wp:posOffset>
                  </wp:positionV>
                  <wp:extent cx="1619885" cy="450850"/>
                  <wp:effectExtent l="0" t="0" r="0" b="0"/>
                  <wp:wrapSquare wrapText="bothSides"/>
                  <wp:docPr id="102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5"/>
                          <a:stretch>
                            <a:fillRect/>
                          </a:stretch>
                        </pic:blipFill>
                        <pic:spPr bwMode="auto">
                          <a:xfrm>
                            <a:off x="0" y="0"/>
                            <a:ext cx="1619885" cy="450850"/>
                          </a:xfrm>
                          <a:prstGeom prst="rect">
                            <a:avLst/>
                          </a:prstGeom>
                          <a:noFill/>
                          <a:ln>
                            <a:noFill/>
                          </a:ln>
                        </pic:spPr>
                      </pic:pic>
                    </a:graphicData>
                  </a:graphic>
                </wp:anchor>
              </w:drawing>
            </w:r>
          </w:p>
        </w:tc>
        <w:tc>
          <w:tcPr>
            <w:tcW w:w="1168" w:type="dxa"/>
          </w:tcPr>
          <w:p w:rsidR="00D5464F" w:rsidRPr="006F2D64" w:rsidP="00D5464F">
            <w:pPr>
              <w:spacing w:after="0" w:line="240" w:lineRule="auto"/>
              <w:rPr>
                <w:sz w:val="20"/>
                <w:szCs w:val="20"/>
                <w:lang w:val="en-US"/>
              </w:rPr>
            </w:pPr>
          </w:p>
        </w:tc>
        <w:tc>
          <w:tcPr>
            <w:tcW w:w="3969" w:type="dxa"/>
          </w:tcPr>
          <w:p w:rsidR="00D5464F" w:rsidRPr="006F2D64" w:rsidP="00D5464F">
            <w:pPr>
              <w:spacing w:after="0" w:line="240" w:lineRule="auto"/>
              <w:rPr>
                <w:sz w:val="20"/>
                <w:szCs w:val="20"/>
                <w:lang w:val="en-US"/>
              </w:rPr>
            </w:pPr>
          </w:p>
        </w:tc>
      </w:tr>
      <w:tr w:rsidTr="006B09E4">
        <w:tblPrEx>
          <w:tblW w:w="9640" w:type="dxa"/>
          <w:tblLayout w:type="fixed"/>
          <w:tblLook w:val="04A0"/>
        </w:tblPrEx>
        <w:tc>
          <w:tcPr>
            <w:tcW w:w="4503" w:type="dxa"/>
            <w:gridSpan w:val="3"/>
          </w:tcPr>
          <w:p w:rsidR="006B09E4" w:rsidRPr="00BA3D39" w:rsidP="00C556C7">
            <w:pPr>
              <w:spacing w:before="60" w:after="0" w:line="240" w:lineRule="auto"/>
              <w:rPr>
                <w:b/>
                <w:color w:val="1F3864"/>
                <w:sz w:val="20"/>
                <w:szCs w:val="20"/>
              </w:rPr>
            </w:pPr>
            <w:r w:rsidRPr="00BA3D39">
              <w:rPr>
                <w:b/>
                <w:color w:val="1F3864"/>
                <w:sz w:val="20"/>
                <w:szCs w:val="20"/>
              </w:rPr>
              <w:t xml:space="preserve">ΔΙΕΥΘΥΝΣΗ </w:t>
            </w:r>
            <w:r w:rsidR="00C556C7">
              <w:rPr>
                <w:b/>
                <w:color w:val="1F3864"/>
                <w:sz w:val="20"/>
                <w:szCs w:val="20"/>
              </w:rPr>
              <w:t xml:space="preserve">ΠΡΟΓΡΑΜΜΑΤΙΣΜΟΥ </w:t>
            </w:r>
            <w:r w:rsidRPr="00BA3D39">
              <w:rPr>
                <w:b/>
                <w:color w:val="1F3864"/>
                <w:sz w:val="20"/>
                <w:szCs w:val="20"/>
              </w:rPr>
              <w:t>ΚΑΙ ΑΞΙΟΛΟΓΗΣΗΣ ΕΛΕΓΧΩΝ ΚΑΙ ΕΡΕΥΝΩΝ (ΔΙ.Π.Α.Ε.Ε.)</w:t>
            </w:r>
            <w:r w:rsidR="00C556C7">
              <w:rPr>
                <w:b/>
                <w:color w:val="1F3864"/>
                <w:sz w:val="20"/>
                <w:szCs w:val="20"/>
              </w:rPr>
              <w:t xml:space="preserve">  </w:t>
            </w:r>
          </w:p>
          <w:p w:rsidR="0007462F" w:rsidRPr="0007462F" w:rsidP="00E17AA2">
            <w:pPr>
              <w:spacing w:after="0" w:line="240" w:lineRule="auto"/>
              <w:rPr>
                <w:b/>
                <w:color w:val="1F3864"/>
                <w:sz w:val="20"/>
                <w:szCs w:val="20"/>
              </w:rPr>
            </w:pPr>
            <w:r w:rsidRPr="0007462F">
              <w:rPr>
                <w:b/>
                <w:color w:val="1F3864"/>
                <w:sz w:val="20"/>
                <w:szCs w:val="20"/>
              </w:rPr>
              <w:t xml:space="preserve">ΑΥΤΟΤΕΛΕΣ ΓΡΑΦΕΙΟ Α΄ΝΟΜΙΚΗΣ ΥΠΟΣΤΗΡΙΞΗΣ  </w:t>
            </w:r>
          </w:p>
        </w:tc>
        <w:tc>
          <w:tcPr>
            <w:tcW w:w="1168" w:type="dxa"/>
          </w:tcPr>
          <w:p w:rsidR="00D5464F" w:rsidRPr="006F2D64" w:rsidP="00D5464F">
            <w:pPr>
              <w:spacing w:after="0" w:line="240" w:lineRule="auto"/>
              <w:rPr>
                <w:sz w:val="20"/>
                <w:szCs w:val="20"/>
              </w:rPr>
            </w:pPr>
          </w:p>
        </w:tc>
        <w:tc>
          <w:tcPr>
            <w:tcW w:w="3969" w:type="dxa"/>
          </w:tcPr>
          <w:p w:rsidR="00D5464F" w:rsidRPr="00C221F3" w:rsidP="00D5464F">
            <w:pPr>
              <w:spacing w:after="0" w:line="240" w:lineRule="auto"/>
              <w:rPr>
                <w:b/>
                <w:sz w:val="20"/>
                <w:szCs w:val="20"/>
              </w:rPr>
            </w:pPr>
            <w:r>
              <w:rPr>
                <w:b/>
                <w:sz w:val="20"/>
                <w:szCs w:val="20"/>
              </w:rPr>
              <w:t>Γαλάτσι</w:t>
            </w:r>
            <w:r>
              <w:rPr>
                <w:b/>
                <w:sz w:val="20"/>
                <w:szCs w:val="20"/>
              </w:rPr>
              <w:t xml:space="preserve"> ,</w:t>
            </w:r>
            <w:r w:rsidR="008B278E">
              <w:rPr>
                <w:b/>
                <w:sz w:val="20"/>
                <w:szCs w:val="20"/>
                <w:lang w:val="en-US"/>
              </w:rPr>
              <w:t xml:space="preserve"> </w:t>
            </w:r>
            <w:r w:rsidR="007B356B">
              <w:rPr>
                <w:b/>
                <w:sz w:val="20"/>
                <w:szCs w:val="20"/>
                <w:lang w:val="en-US"/>
              </w:rPr>
              <w:t xml:space="preserve"> </w:t>
            </w:r>
            <w:r w:rsidR="00A34E1F">
              <w:rPr>
                <w:b/>
                <w:sz w:val="20"/>
                <w:szCs w:val="20"/>
                <w:lang w:val="en-US"/>
              </w:rPr>
              <w:t>28</w:t>
            </w:r>
            <w:r w:rsidR="000809C9">
              <w:rPr>
                <w:b/>
                <w:sz w:val="20"/>
                <w:szCs w:val="20"/>
                <w:lang w:val="en-US"/>
              </w:rPr>
              <w:t xml:space="preserve">  </w:t>
            </w:r>
            <w:r w:rsidR="00923CFD">
              <w:rPr>
                <w:b/>
                <w:sz w:val="20"/>
                <w:szCs w:val="20"/>
              </w:rPr>
              <w:t>Ιουνίου</w:t>
            </w:r>
            <w:r w:rsidR="000809C9">
              <w:rPr>
                <w:b/>
                <w:sz w:val="20"/>
                <w:szCs w:val="20"/>
              </w:rPr>
              <w:t xml:space="preserve"> </w:t>
            </w:r>
            <w:r w:rsidR="00C221F3">
              <w:rPr>
                <w:b/>
                <w:sz w:val="20"/>
                <w:szCs w:val="20"/>
              </w:rPr>
              <w:t>201</w:t>
            </w:r>
            <w:r w:rsidR="007E66AD">
              <w:rPr>
                <w:b/>
                <w:sz w:val="20"/>
                <w:szCs w:val="20"/>
              </w:rPr>
              <w:t>8</w:t>
            </w:r>
          </w:p>
          <w:p w:rsidR="00D5464F" w:rsidRPr="006F2D64" w:rsidP="00D20F77">
            <w:pPr>
              <w:spacing w:after="0" w:line="240" w:lineRule="auto"/>
              <w:rPr>
                <w:b/>
                <w:sz w:val="20"/>
                <w:szCs w:val="20"/>
              </w:rPr>
            </w:pPr>
            <w:r>
              <w:rPr>
                <w:b/>
                <w:sz w:val="20"/>
                <w:szCs w:val="20"/>
              </w:rPr>
              <w:t>Αριθ. Πρωτ.:</w:t>
            </w:r>
            <w:r w:rsidRPr="0041729C" w:rsidR="0041729C">
              <w:rPr>
                <w:b/>
                <w:sz w:val="20"/>
                <w:szCs w:val="20"/>
              </w:rPr>
              <w:t xml:space="preserve"> </w:t>
            </w:r>
            <w:r>
              <w:rPr>
                <w:b/>
                <w:sz w:val="20"/>
                <w:szCs w:val="20"/>
              </w:rPr>
              <w:t xml:space="preserve"> </w:t>
            </w:r>
            <w:bookmarkStart w:id="0" w:name="PROTOCOL"/>
            <w:r w:rsidRPr="006F2D64">
              <w:rPr>
                <w:b/>
                <w:sz w:val="20"/>
                <w:szCs w:val="20"/>
              </w:rPr>
              <w:t>ΔΙ.Π.Α.Ε.Ε. 136644 ΕΞ 2018 ΕΜΠ</w:t>
            </w:r>
            <w:bookmarkEnd w:id="0"/>
          </w:p>
        </w:tc>
      </w:tr>
      <w:tr w:rsidTr="006B09E4">
        <w:tblPrEx>
          <w:tblW w:w="9640" w:type="dxa"/>
          <w:tblLayout w:type="fixed"/>
          <w:tblLook w:val="04A0"/>
        </w:tblPrEx>
        <w:tc>
          <w:tcPr>
            <w:tcW w:w="1531" w:type="dxa"/>
          </w:tcPr>
          <w:p w:rsidR="00D5464F" w:rsidRPr="006F2D64" w:rsidP="00D5464F">
            <w:pPr>
              <w:spacing w:before="120" w:after="0" w:line="240" w:lineRule="auto"/>
              <w:rPr>
                <w:sz w:val="20"/>
                <w:szCs w:val="20"/>
              </w:rPr>
            </w:pPr>
            <w:r w:rsidRPr="006F2D64">
              <w:rPr>
                <w:sz w:val="20"/>
                <w:szCs w:val="20"/>
              </w:rPr>
              <w:t>Ταχ. Δ/νση</w:t>
            </w:r>
          </w:p>
        </w:tc>
        <w:tc>
          <w:tcPr>
            <w:tcW w:w="454" w:type="dxa"/>
          </w:tcPr>
          <w:p w:rsidR="00D5464F" w:rsidRPr="0041729C" w:rsidP="00D5464F">
            <w:pPr>
              <w:spacing w:before="120" w:after="0" w:line="240" w:lineRule="auto"/>
              <w:rPr>
                <w:sz w:val="20"/>
                <w:szCs w:val="20"/>
              </w:rPr>
            </w:pPr>
            <w:r w:rsidRPr="0041729C">
              <w:rPr>
                <w:sz w:val="20"/>
                <w:szCs w:val="20"/>
              </w:rPr>
              <w:t xml:space="preserve">: </w:t>
            </w:r>
          </w:p>
        </w:tc>
        <w:tc>
          <w:tcPr>
            <w:tcW w:w="2518" w:type="dxa"/>
          </w:tcPr>
          <w:p w:rsidR="00D5464F" w:rsidRPr="00BA3D39" w:rsidP="00D5464F">
            <w:pPr>
              <w:spacing w:before="120" w:after="0" w:line="240" w:lineRule="auto"/>
              <w:rPr>
                <w:sz w:val="20"/>
                <w:szCs w:val="20"/>
              </w:rPr>
            </w:pPr>
            <w:r w:rsidRPr="00BA3D39">
              <w:rPr>
                <w:sz w:val="20"/>
                <w:szCs w:val="20"/>
              </w:rPr>
              <w:t>Καραϊσκάκη 2</w:t>
            </w:r>
          </w:p>
        </w:tc>
        <w:tc>
          <w:tcPr>
            <w:tcW w:w="1168" w:type="dxa"/>
            <w:vMerge w:val="restart"/>
          </w:tcPr>
          <w:p w:rsidR="00D5464F" w:rsidRPr="0041729C" w:rsidP="00D5464F">
            <w:pPr>
              <w:spacing w:before="120" w:after="0" w:line="240" w:lineRule="auto"/>
              <w:rPr>
                <w:sz w:val="20"/>
                <w:szCs w:val="20"/>
              </w:rPr>
            </w:pPr>
          </w:p>
        </w:tc>
        <w:tc>
          <w:tcPr>
            <w:tcW w:w="3969" w:type="dxa"/>
            <w:vMerge w:val="restart"/>
          </w:tcPr>
          <w:p w:rsidR="009D7117" w:rsidRPr="00B46459" w:rsidP="009D7117">
            <w:pPr>
              <w:spacing w:before="120" w:after="0" w:line="240" w:lineRule="auto"/>
              <w:rPr>
                <w:sz w:val="20"/>
                <w:szCs w:val="20"/>
              </w:rPr>
            </w:pPr>
            <w:r w:rsidRPr="009D7117">
              <w:rPr>
                <w:b/>
                <w:sz w:val="20"/>
                <w:szCs w:val="20"/>
              </w:rPr>
              <w:t>ΠΡΟΣ :</w:t>
            </w:r>
            <w:r w:rsidRPr="009D7117">
              <w:rPr>
                <w:sz w:val="20"/>
                <w:szCs w:val="20"/>
              </w:rPr>
              <w:t xml:space="preserve"> </w:t>
            </w:r>
            <w:r w:rsidR="00B46459">
              <w:rPr>
                <w:sz w:val="20"/>
                <w:szCs w:val="20"/>
                <w:lang w:val="en-US"/>
              </w:rPr>
              <w:t>AYTOTE</w:t>
            </w:r>
            <w:r w:rsidR="00B46459">
              <w:rPr>
                <w:sz w:val="20"/>
                <w:szCs w:val="20"/>
              </w:rPr>
              <w:t>ΛΕΣ ΤΜΗΜΑ ΚΟΙΝΟΒΟΥΛΕΥΤΙΚΟΥ ΕΛΕΓΧΟΥ</w:t>
            </w:r>
          </w:p>
          <w:p w:rsidR="009D7117" w:rsidRPr="008A7A7B" w:rsidP="00263EC1">
            <w:pPr>
              <w:rPr>
                <w:sz w:val="20"/>
                <w:szCs w:val="20"/>
              </w:rPr>
            </w:pPr>
            <w:r>
              <w:rPr>
                <w:sz w:val="20"/>
                <w:szCs w:val="20"/>
                <w:lang w:val="en-US"/>
              </w:rPr>
              <w:t>e</w:t>
            </w:r>
            <w:r w:rsidRPr="008A7A7B">
              <w:rPr>
                <w:sz w:val="20"/>
                <w:szCs w:val="20"/>
              </w:rPr>
              <w:t>-</w:t>
            </w:r>
            <w:r>
              <w:rPr>
                <w:sz w:val="20"/>
                <w:szCs w:val="20"/>
                <w:lang w:val="en-US"/>
              </w:rPr>
              <w:t>mail</w:t>
            </w:r>
            <w:r w:rsidRPr="008A7A7B">
              <w:rPr>
                <w:sz w:val="20"/>
                <w:szCs w:val="20"/>
              </w:rPr>
              <w:t>:</w:t>
            </w:r>
            <w:r w:rsidR="00321E4B">
              <w:rPr>
                <w:sz w:val="20"/>
                <w:szCs w:val="20"/>
                <w:lang w:val="en-US"/>
              </w:rPr>
              <w:t>ckirlig</w:t>
            </w:r>
            <w:r w:rsidRPr="008A7A7B" w:rsidR="00E740AA">
              <w:rPr>
                <w:sz w:val="20"/>
                <w:szCs w:val="20"/>
              </w:rPr>
              <w:t>@1988.</w:t>
            </w:r>
            <w:r w:rsidR="00E740AA">
              <w:rPr>
                <w:sz w:val="20"/>
                <w:szCs w:val="20"/>
                <w:lang w:val="en-US"/>
              </w:rPr>
              <w:t>syzefxis</w:t>
            </w:r>
            <w:r w:rsidRPr="008A7A7B" w:rsidR="00E740AA">
              <w:rPr>
                <w:sz w:val="20"/>
                <w:szCs w:val="20"/>
              </w:rPr>
              <w:t>.</w:t>
            </w:r>
            <w:r w:rsidR="00E740AA">
              <w:rPr>
                <w:sz w:val="20"/>
                <w:szCs w:val="20"/>
                <w:lang w:val="en-US"/>
              </w:rPr>
              <w:t>gov</w:t>
            </w:r>
            <w:r w:rsidRPr="008A7A7B" w:rsidR="00E740AA">
              <w:rPr>
                <w:sz w:val="20"/>
                <w:szCs w:val="20"/>
              </w:rPr>
              <w:t>.</w:t>
            </w:r>
            <w:r w:rsidR="00E740AA">
              <w:rPr>
                <w:sz w:val="20"/>
                <w:szCs w:val="20"/>
                <w:lang w:val="en-US"/>
              </w:rPr>
              <w:t>gr</w:t>
            </w:r>
          </w:p>
          <w:p w:rsidR="009D7117" w:rsidRPr="008A7A7B" w:rsidP="009D7117">
            <w:pPr>
              <w:spacing w:before="120" w:after="0" w:line="240" w:lineRule="auto"/>
              <w:rPr>
                <w:sz w:val="20"/>
                <w:szCs w:val="20"/>
              </w:rPr>
            </w:pPr>
          </w:p>
          <w:p w:rsidR="009D7117" w:rsidRPr="008A7A7B" w:rsidP="009D7117">
            <w:pPr>
              <w:spacing w:before="120" w:after="0" w:line="240" w:lineRule="auto"/>
              <w:rPr>
                <w:sz w:val="20"/>
                <w:szCs w:val="20"/>
              </w:rPr>
            </w:pPr>
          </w:p>
        </w:tc>
      </w:tr>
      <w:tr w:rsidTr="006B09E4">
        <w:tblPrEx>
          <w:tblW w:w="9640" w:type="dxa"/>
          <w:tblLayout w:type="fixed"/>
          <w:tblLook w:val="04A0"/>
        </w:tblPrEx>
        <w:tc>
          <w:tcPr>
            <w:tcW w:w="1531" w:type="dxa"/>
          </w:tcPr>
          <w:p w:rsidR="00D5464F" w:rsidRPr="006F2D64" w:rsidP="00D5464F">
            <w:pPr>
              <w:spacing w:after="0" w:line="240" w:lineRule="auto"/>
              <w:rPr>
                <w:sz w:val="20"/>
                <w:szCs w:val="20"/>
              </w:rPr>
            </w:pPr>
            <w:r w:rsidRPr="006F2D64">
              <w:rPr>
                <w:sz w:val="20"/>
                <w:szCs w:val="20"/>
              </w:rPr>
              <w:t>Ταχ. Κώδικας</w:t>
            </w:r>
          </w:p>
        </w:tc>
        <w:tc>
          <w:tcPr>
            <w:tcW w:w="454" w:type="dxa"/>
          </w:tcPr>
          <w:p w:rsidR="00D5464F" w:rsidRPr="00BA3D39" w:rsidP="00D5464F">
            <w:pPr>
              <w:spacing w:after="0" w:line="240" w:lineRule="auto"/>
              <w:rPr>
                <w:sz w:val="20"/>
                <w:szCs w:val="20"/>
                <w:lang w:val="en-US"/>
              </w:rPr>
            </w:pPr>
            <w:r w:rsidRPr="00BA3D39">
              <w:rPr>
                <w:sz w:val="20"/>
                <w:szCs w:val="20"/>
                <w:lang w:val="en-US"/>
              </w:rPr>
              <w:t>:</w:t>
            </w:r>
          </w:p>
        </w:tc>
        <w:tc>
          <w:tcPr>
            <w:tcW w:w="2518" w:type="dxa"/>
          </w:tcPr>
          <w:p w:rsidR="00D5464F" w:rsidRPr="00BA3D39" w:rsidP="006B09E4">
            <w:pPr>
              <w:spacing w:after="0" w:line="240" w:lineRule="auto"/>
              <w:rPr>
                <w:sz w:val="20"/>
                <w:szCs w:val="20"/>
              </w:rPr>
            </w:pPr>
            <w:r w:rsidRPr="00BA3D39">
              <w:rPr>
                <w:sz w:val="20"/>
                <w:szCs w:val="20"/>
              </w:rPr>
              <w:t>11146</w:t>
            </w:r>
            <w:r w:rsidRPr="00BA3D39">
              <w:rPr>
                <w:sz w:val="20"/>
                <w:szCs w:val="20"/>
              </w:rPr>
              <w:t xml:space="preserve"> </w:t>
            </w:r>
            <w:r w:rsidRPr="00BA3D39">
              <w:rPr>
                <w:sz w:val="20"/>
                <w:szCs w:val="20"/>
              </w:rPr>
              <w:t>Γαλάτσι</w:t>
            </w:r>
          </w:p>
        </w:tc>
        <w:tc>
          <w:tcPr>
            <w:tcW w:w="1168" w:type="dxa"/>
            <w:vMerge/>
          </w:tcPr>
          <w:p w:rsidR="00D5464F" w:rsidRPr="006F2D64" w:rsidP="00D5464F">
            <w:pPr>
              <w:spacing w:after="0" w:line="240" w:lineRule="auto"/>
              <w:rPr>
                <w:sz w:val="20"/>
                <w:szCs w:val="20"/>
                <w:lang w:val="en-US"/>
              </w:rPr>
            </w:pPr>
          </w:p>
        </w:tc>
        <w:tc>
          <w:tcPr>
            <w:tcW w:w="3969" w:type="dxa"/>
            <w:vMerge/>
          </w:tcPr>
          <w:p w:rsidR="00D5464F" w:rsidRPr="006F2D64" w:rsidP="00D5464F">
            <w:pPr>
              <w:spacing w:after="0" w:line="240" w:lineRule="auto"/>
              <w:rPr>
                <w:sz w:val="20"/>
                <w:szCs w:val="20"/>
                <w:lang w:val="en-US"/>
              </w:rPr>
            </w:pPr>
          </w:p>
        </w:tc>
      </w:tr>
      <w:tr w:rsidTr="006B09E4">
        <w:tblPrEx>
          <w:tblW w:w="9640" w:type="dxa"/>
          <w:tblLayout w:type="fixed"/>
          <w:tblLook w:val="04A0"/>
        </w:tblPrEx>
        <w:tc>
          <w:tcPr>
            <w:tcW w:w="1531" w:type="dxa"/>
          </w:tcPr>
          <w:p w:rsidR="00D5464F" w:rsidRPr="006F2D64" w:rsidP="00D5464F">
            <w:pPr>
              <w:spacing w:after="0" w:line="240" w:lineRule="auto"/>
              <w:rPr>
                <w:sz w:val="20"/>
                <w:szCs w:val="20"/>
              </w:rPr>
            </w:pPr>
            <w:r w:rsidRPr="006F2D64">
              <w:rPr>
                <w:sz w:val="20"/>
                <w:szCs w:val="20"/>
              </w:rPr>
              <w:t>Πληροφορίες</w:t>
            </w:r>
          </w:p>
        </w:tc>
        <w:tc>
          <w:tcPr>
            <w:tcW w:w="454" w:type="dxa"/>
          </w:tcPr>
          <w:p w:rsidR="00D5464F" w:rsidRPr="00BA3D39" w:rsidP="00D5464F">
            <w:pPr>
              <w:spacing w:after="0" w:line="240" w:lineRule="auto"/>
              <w:rPr>
                <w:sz w:val="20"/>
                <w:szCs w:val="20"/>
                <w:lang w:val="en-US"/>
              </w:rPr>
            </w:pPr>
            <w:r w:rsidRPr="00BA3D39">
              <w:rPr>
                <w:sz w:val="20"/>
                <w:szCs w:val="20"/>
                <w:lang w:val="en-US"/>
              </w:rPr>
              <w:t>:</w:t>
            </w:r>
          </w:p>
        </w:tc>
        <w:tc>
          <w:tcPr>
            <w:tcW w:w="2518" w:type="dxa"/>
          </w:tcPr>
          <w:p w:rsidR="00D5464F" w:rsidRPr="00BA3D39" w:rsidP="00D5464F">
            <w:pPr>
              <w:spacing w:after="0" w:line="240" w:lineRule="auto"/>
              <w:rPr>
                <w:sz w:val="20"/>
                <w:szCs w:val="20"/>
                <w:lang w:val="en-US"/>
              </w:rPr>
            </w:pPr>
            <w:r>
              <w:rPr>
                <w:sz w:val="20"/>
                <w:szCs w:val="20"/>
              </w:rPr>
              <w:t>Α.Κωσταβασίλη</w:t>
            </w:r>
          </w:p>
        </w:tc>
        <w:tc>
          <w:tcPr>
            <w:tcW w:w="1168" w:type="dxa"/>
            <w:vMerge/>
          </w:tcPr>
          <w:p w:rsidR="00D5464F" w:rsidRPr="006F2D64" w:rsidP="00D5464F">
            <w:pPr>
              <w:spacing w:after="0" w:line="240" w:lineRule="auto"/>
              <w:rPr>
                <w:sz w:val="20"/>
                <w:szCs w:val="20"/>
                <w:lang w:val="en-US"/>
              </w:rPr>
            </w:pPr>
          </w:p>
        </w:tc>
        <w:tc>
          <w:tcPr>
            <w:tcW w:w="3969" w:type="dxa"/>
            <w:vMerge/>
          </w:tcPr>
          <w:p w:rsidR="00D5464F" w:rsidRPr="006F2D64" w:rsidP="00D5464F">
            <w:pPr>
              <w:spacing w:after="0" w:line="240" w:lineRule="auto"/>
              <w:rPr>
                <w:sz w:val="20"/>
                <w:szCs w:val="20"/>
                <w:lang w:val="en-US"/>
              </w:rPr>
            </w:pPr>
          </w:p>
        </w:tc>
      </w:tr>
      <w:tr w:rsidTr="006B09E4">
        <w:tblPrEx>
          <w:tblW w:w="9640" w:type="dxa"/>
          <w:tblLayout w:type="fixed"/>
          <w:tblLook w:val="04A0"/>
        </w:tblPrEx>
        <w:tc>
          <w:tcPr>
            <w:tcW w:w="1531" w:type="dxa"/>
          </w:tcPr>
          <w:p w:rsidR="00D5464F" w:rsidRPr="006B09E4" w:rsidP="00D5464F">
            <w:pPr>
              <w:spacing w:after="0" w:line="240" w:lineRule="auto"/>
              <w:rPr>
                <w:sz w:val="20"/>
                <w:szCs w:val="20"/>
                <w:lang w:val="en-US"/>
              </w:rPr>
            </w:pPr>
            <w:r w:rsidRPr="006F2D64">
              <w:rPr>
                <w:sz w:val="20"/>
                <w:szCs w:val="20"/>
              </w:rPr>
              <w:t>Τηλέφωνο</w:t>
            </w:r>
          </w:p>
        </w:tc>
        <w:tc>
          <w:tcPr>
            <w:tcW w:w="454" w:type="dxa"/>
          </w:tcPr>
          <w:p w:rsidR="00D5464F" w:rsidRPr="00BA3D39" w:rsidP="00D5464F">
            <w:pPr>
              <w:spacing w:after="0" w:line="240" w:lineRule="auto"/>
              <w:rPr>
                <w:sz w:val="20"/>
                <w:szCs w:val="20"/>
                <w:lang w:val="en-US"/>
              </w:rPr>
            </w:pPr>
            <w:r w:rsidRPr="00BA3D39">
              <w:rPr>
                <w:sz w:val="20"/>
                <w:szCs w:val="20"/>
                <w:lang w:val="en-US"/>
              </w:rPr>
              <w:t>:</w:t>
            </w:r>
          </w:p>
        </w:tc>
        <w:tc>
          <w:tcPr>
            <w:tcW w:w="2518" w:type="dxa"/>
          </w:tcPr>
          <w:p w:rsidR="00D5464F" w:rsidRPr="00BA3D39" w:rsidP="006B09E4">
            <w:pPr>
              <w:spacing w:after="0" w:line="240" w:lineRule="auto"/>
              <w:rPr>
                <w:sz w:val="20"/>
                <w:szCs w:val="20"/>
                <w:lang w:val="en-US"/>
              </w:rPr>
            </w:pPr>
            <w:r w:rsidRPr="00BA3D39">
              <w:rPr>
                <w:sz w:val="20"/>
                <w:szCs w:val="20"/>
              </w:rPr>
              <w:t>210-2925616</w:t>
            </w:r>
          </w:p>
        </w:tc>
        <w:tc>
          <w:tcPr>
            <w:tcW w:w="1168" w:type="dxa"/>
            <w:vMerge/>
          </w:tcPr>
          <w:p w:rsidR="00D5464F" w:rsidRPr="006F2D64" w:rsidP="00D5464F">
            <w:pPr>
              <w:spacing w:after="0" w:line="240" w:lineRule="auto"/>
              <w:rPr>
                <w:sz w:val="20"/>
                <w:szCs w:val="20"/>
                <w:lang w:val="en-US"/>
              </w:rPr>
            </w:pPr>
          </w:p>
        </w:tc>
        <w:tc>
          <w:tcPr>
            <w:tcW w:w="3969" w:type="dxa"/>
            <w:vMerge/>
          </w:tcPr>
          <w:p w:rsidR="00D5464F" w:rsidRPr="006F2D64" w:rsidP="00D5464F">
            <w:pPr>
              <w:spacing w:after="0" w:line="240" w:lineRule="auto"/>
              <w:rPr>
                <w:sz w:val="20"/>
                <w:szCs w:val="20"/>
                <w:lang w:val="en-US"/>
              </w:rPr>
            </w:pPr>
          </w:p>
        </w:tc>
      </w:tr>
      <w:tr w:rsidTr="006B09E4">
        <w:tblPrEx>
          <w:tblW w:w="9640" w:type="dxa"/>
          <w:tblLayout w:type="fixed"/>
          <w:tblLook w:val="04A0"/>
        </w:tblPrEx>
        <w:tc>
          <w:tcPr>
            <w:tcW w:w="1531" w:type="dxa"/>
          </w:tcPr>
          <w:p w:rsidR="00D5464F" w:rsidRPr="006F2D64" w:rsidP="00D5464F">
            <w:pPr>
              <w:spacing w:after="0" w:line="240" w:lineRule="auto"/>
              <w:rPr>
                <w:sz w:val="20"/>
                <w:szCs w:val="20"/>
                <w:lang w:val="en-US"/>
              </w:rPr>
            </w:pPr>
            <w:r w:rsidRPr="006F2D64">
              <w:rPr>
                <w:sz w:val="20"/>
                <w:szCs w:val="20"/>
                <w:lang w:val="en-US"/>
              </w:rPr>
              <w:t>Fax</w:t>
            </w:r>
          </w:p>
        </w:tc>
        <w:tc>
          <w:tcPr>
            <w:tcW w:w="454" w:type="dxa"/>
          </w:tcPr>
          <w:p w:rsidR="00D5464F" w:rsidRPr="00BA3D39" w:rsidP="00D5464F">
            <w:pPr>
              <w:spacing w:after="0" w:line="240" w:lineRule="auto"/>
              <w:rPr>
                <w:sz w:val="20"/>
                <w:szCs w:val="20"/>
                <w:lang w:val="en-US"/>
              </w:rPr>
            </w:pPr>
            <w:r w:rsidRPr="00BA3D39">
              <w:rPr>
                <w:sz w:val="20"/>
                <w:szCs w:val="20"/>
                <w:lang w:val="en-US"/>
              </w:rPr>
              <w:t>:</w:t>
            </w:r>
          </w:p>
        </w:tc>
        <w:tc>
          <w:tcPr>
            <w:tcW w:w="2518" w:type="dxa"/>
          </w:tcPr>
          <w:p w:rsidR="00D5464F" w:rsidRPr="00BA3D39" w:rsidP="006B09E4">
            <w:pPr>
              <w:spacing w:after="0" w:line="240" w:lineRule="auto"/>
              <w:rPr>
                <w:sz w:val="20"/>
                <w:szCs w:val="20"/>
                <w:lang w:val="en-US"/>
              </w:rPr>
            </w:pPr>
            <w:r w:rsidRPr="00BA3D39">
              <w:rPr>
                <w:sz w:val="20"/>
                <w:szCs w:val="20"/>
              </w:rPr>
              <w:t>210-2930665</w:t>
            </w:r>
          </w:p>
        </w:tc>
        <w:tc>
          <w:tcPr>
            <w:tcW w:w="1168" w:type="dxa"/>
            <w:vMerge/>
          </w:tcPr>
          <w:p w:rsidR="00D5464F" w:rsidRPr="006F2D64" w:rsidP="00D5464F">
            <w:pPr>
              <w:spacing w:after="0" w:line="240" w:lineRule="auto"/>
              <w:rPr>
                <w:sz w:val="20"/>
                <w:szCs w:val="20"/>
                <w:lang w:val="en-US"/>
              </w:rPr>
            </w:pPr>
          </w:p>
        </w:tc>
        <w:tc>
          <w:tcPr>
            <w:tcW w:w="3969" w:type="dxa"/>
            <w:vMerge/>
          </w:tcPr>
          <w:p w:rsidR="00D5464F" w:rsidRPr="006F2D64" w:rsidP="00D5464F">
            <w:pPr>
              <w:spacing w:after="0" w:line="240" w:lineRule="auto"/>
              <w:rPr>
                <w:sz w:val="20"/>
                <w:szCs w:val="20"/>
                <w:lang w:val="en-US"/>
              </w:rPr>
            </w:pPr>
          </w:p>
        </w:tc>
      </w:tr>
      <w:tr w:rsidTr="006B09E4">
        <w:tblPrEx>
          <w:tblW w:w="9640" w:type="dxa"/>
          <w:tblLayout w:type="fixed"/>
          <w:tblLook w:val="04A0"/>
        </w:tblPrEx>
        <w:tc>
          <w:tcPr>
            <w:tcW w:w="1531" w:type="dxa"/>
          </w:tcPr>
          <w:p w:rsidR="00D5464F" w:rsidRPr="006F2D64" w:rsidP="00D5464F">
            <w:pPr>
              <w:spacing w:after="0" w:line="240" w:lineRule="auto"/>
              <w:rPr>
                <w:sz w:val="20"/>
                <w:szCs w:val="20"/>
                <w:lang w:val="en-US"/>
              </w:rPr>
            </w:pPr>
          </w:p>
        </w:tc>
        <w:tc>
          <w:tcPr>
            <w:tcW w:w="454" w:type="dxa"/>
          </w:tcPr>
          <w:p w:rsidR="00D5464F" w:rsidRPr="00BA3D39" w:rsidP="00D5464F">
            <w:pPr>
              <w:spacing w:after="0" w:line="240" w:lineRule="auto"/>
              <w:rPr>
                <w:sz w:val="20"/>
                <w:szCs w:val="20"/>
                <w:lang w:val="en-US"/>
              </w:rPr>
            </w:pPr>
          </w:p>
        </w:tc>
        <w:tc>
          <w:tcPr>
            <w:tcW w:w="2518" w:type="dxa"/>
          </w:tcPr>
          <w:p w:rsidR="00D5464F" w:rsidRPr="00BA3D39" w:rsidP="00025D95">
            <w:pPr>
              <w:spacing w:after="0" w:line="240" w:lineRule="auto"/>
              <w:rPr>
                <w:sz w:val="16"/>
                <w:szCs w:val="16"/>
                <w:lang w:val="en-US"/>
              </w:rPr>
            </w:pPr>
          </w:p>
        </w:tc>
        <w:tc>
          <w:tcPr>
            <w:tcW w:w="1168" w:type="dxa"/>
            <w:vMerge/>
          </w:tcPr>
          <w:p w:rsidR="00D5464F" w:rsidRPr="006F2D64" w:rsidP="00D5464F">
            <w:pPr>
              <w:spacing w:after="0" w:line="240" w:lineRule="auto"/>
              <w:rPr>
                <w:sz w:val="20"/>
                <w:szCs w:val="20"/>
                <w:lang w:val="en-US"/>
              </w:rPr>
            </w:pPr>
          </w:p>
        </w:tc>
        <w:tc>
          <w:tcPr>
            <w:tcW w:w="3969" w:type="dxa"/>
            <w:vMerge/>
          </w:tcPr>
          <w:p w:rsidR="00D5464F" w:rsidRPr="006F2D64" w:rsidP="00D5464F">
            <w:pPr>
              <w:spacing w:after="0" w:line="240" w:lineRule="auto"/>
              <w:rPr>
                <w:sz w:val="20"/>
                <w:szCs w:val="20"/>
                <w:lang w:val="en-US"/>
              </w:rPr>
            </w:pPr>
          </w:p>
        </w:tc>
      </w:tr>
    </w:tbl>
    <w:p w:rsidR="00D5464F" w:rsidP="00805C44">
      <w:pPr>
        <w:spacing w:after="0" w:line="240" w:lineRule="auto"/>
        <w:rPr>
          <w:b/>
        </w:rPr>
      </w:pPr>
      <w:r w:rsidRPr="00226509">
        <w:rPr>
          <w:b/>
        </w:rPr>
        <w:t xml:space="preserve">Θέμα: </w:t>
      </w:r>
      <w:r w:rsidR="00E740AA">
        <w:rPr>
          <w:b/>
        </w:rPr>
        <w:t>Παροχή στοιχείων για κοινοβουλευτικό έλεγχο.</w:t>
      </w:r>
    </w:p>
    <w:p w:rsidR="009D7117" w:rsidP="00F028DB">
      <w:pPr>
        <w:spacing w:after="0" w:line="240" w:lineRule="auto"/>
        <w:jc w:val="both"/>
        <w:rPr>
          <w:b/>
        </w:rPr>
      </w:pPr>
    </w:p>
    <w:p w:rsidR="009E73E3" w:rsidP="009E73E3">
      <w:pPr>
        <w:spacing w:after="0" w:line="240" w:lineRule="auto"/>
        <w:jc w:val="both"/>
      </w:pPr>
      <w:r>
        <w:t>Σ</w:t>
      </w:r>
      <w:r w:rsidR="00460156">
        <w:t>χετικό</w:t>
      </w:r>
      <w:r>
        <w:t>:</w:t>
      </w:r>
      <w:r w:rsidR="00460156">
        <w:t xml:space="preserve"> </w:t>
      </w:r>
      <w:r>
        <w:t>Το υπ’ αριθμ. Πρωτ. ΑΤΚΕ 00</w:t>
      </w:r>
      <w:r w:rsidRPr="007E66AD" w:rsidR="007E66AD">
        <w:t>0</w:t>
      </w:r>
      <w:r w:rsidRPr="00D654A0" w:rsidR="00D654A0">
        <w:t>2</w:t>
      </w:r>
      <w:r w:rsidRPr="007B356B" w:rsidR="007B356B">
        <w:t>756</w:t>
      </w:r>
      <w:r>
        <w:t>EΞ 201</w:t>
      </w:r>
      <w:r w:rsidRPr="007E66AD" w:rsidR="007E66AD">
        <w:t>8</w:t>
      </w:r>
      <w:r>
        <w:t>/</w:t>
      </w:r>
      <w:r w:rsidRPr="000809C9" w:rsidR="000809C9">
        <w:t>1</w:t>
      </w:r>
      <w:r w:rsidRPr="007B356B" w:rsidR="007B356B">
        <w:t>450</w:t>
      </w:r>
      <w:r>
        <w:t>/</w:t>
      </w:r>
      <w:r w:rsidRPr="007B356B" w:rsidR="007B356B">
        <w:t>21</w:t>
      </w:r>
      <w:r>
        <w:t>-</w:t>
      </w:r>
      <w:r w:rsidRPr="007E66AD" w:rsidR="007E66AD">
        <w:t>0</w:t>
      </w:r>
      <w:r w:rsidR="00923CFD">
        <w:t>6</w:t>
      </w:r>
      <w:r>
        <w:t>-201</w:t>
      </w:r>
      <w:r w:rsidRPr="007E66AD" w:rsidR="007E66AD">
        <w:t>8</w:t>
      </w:r>
      <w:r>
        <w:t xml:space="preserve"> Υπηρεσιακό Σημείωμά σας</w:t>
      </w:r>
    </w:p>
    <w:p w:rsidR="009E73E3" w:rsidP="009E73E3">
      <w:pPr>
        <w:spacing w:after="0" w:line="240" w:lineRule="auto"/>
        <w:jc w:val="both"/>
      </w:pPr>
      <w:r>
        <w:tab/>
      </w:r>
    </w:p>
    <w:p w:rsidR="00AC41BF" w:rsidRPr="00AC41BF" w:rsidP="00AC41BF">
      <w:pPr>
        <w:spacing w:after="0" w:line="240" w:lineRule="auto"/>
        <w:jc w:val="both"/>
      </w:pPr>
      <w:r w:rsidRPr="00AC41BF">
        <w:t xml:space="preserve">       Σε απάντηση στο ανωτέρω Υπηρεσιακό σημείωμά σας και στη συνημμένη σε αυτό αρ.6952/19.06.2018 Ερώτηση του Βουλευτή κ. </w:t>
      </w:r>
      <w:r w:rsidRPr="00AC41BF">
        <w:rPr>
          <w:lang w:val="en-US"/>
        </w:rPr>
        <w:t>N</w:t>
      </w:r>
      <w:r w:rsidRPr="00AC41BF">
        <w:t>. Νικολόπουλου, αναφορικά με θέματα αρμοδιότητάς μας που θίγονται σε αυτή, σας γνωρίζουμε, ότι οι εποπτευόμενες από την Υπηρεσία μας περιφερειακές  δομές  (ΥΕΔΔΕ)   στο πλαίσιο των αρμοδιοτήτων τους διενεργούν ελέγχους και  έρευνες προς όλες τις κατευθύνσεις  για την πάταξη της φοροδιαφυγής και της φοροαποφυγής και μεταξύ αυτών ειδικότερα και για την  καταπολέμηση περιπτώσεων απάτης στον ενδοκοινοτικό Φ.Π.Α.</w:t>
      </w:r>
    </w:p>
    <w:p w:rsidR="00AC41BF" w:rsidRPr="00AC41BF" w:rsidP="00AC41BF">
      <w:pPr>
        <w:spacing w:after="0" w:line="240" w:lineRule="auto"/>
        <w:jc w:val="both"/>
      </w:pPr>
      <w:r w:rsidRPr="00AC41BF">
        <w:t xml:space="preserve">      Αναφορικά  με την προμήθεια του αναφερόμενου στην ως άνω  ερώτηση λογισμικού  συστήματος  συστάθηκε Επιτροπή  με την αριθμ.πρωτ. Δ.ΟΡΓ.Β.1161108 ΕΞ  2015/ 14.12.2015  Απόφαση του  Υπουργού Οικονομικών για την συγγραφή των απαιτήσεων για την προμήθεια με απ’ ευθείας ανάθεση ειδικού λογισμικού ερευνών και ανάλυσης στοιχείων.Το πόρισμα της εν λόγω Επιτροπής τέθηκε υπόψη των αρμοδίων Υπουργών και  Οργάνων της Διοίκησης. </w:t>
      </w:r>
    </w:p>
    <w:p w:rsidR="00AC41BF" w:rsidRPr="00AC41BF" w:rsidP="00AC41BF">
      <w:pPr>
        <w:spacing w:after="0" w:line="240" w:lineRule="auto"/>
        <w:jc w:val="both"/>
      </w:pPr>
      <w:r w:rsidRPr="00AC41BF">
        <w:t xml:space="preserve">       Περαιτέρω, για την καταπολέμηση της απάτης στο Φ.Π.Α. και ειδικότερα της απάτης στο ενδοκοινοτικό εμπόριο τύπου «</w:t>
      </w:r>
      <w:r w:rsidRPr="00AC41BF">
        <w:rPr>
          <w:lang w:val="en-US"/>
        </w:rPr>
        <w:t>carouzel</w:t>
      </w:r>
      <w:r w:rsidRPr="00AC41BF">
        <w:t>», η Ευρωπαϊκή Επιτροπή αποφάσισε την ανάπτυξη, με ίδιους πόρους, πανομοιότυπου με το αναφερόμενο στην ως άνω ερώτηση ειδικού λογισμικού σε κοινοτικό επίπεδο, ως ταχεία και αποδοτική λύση από πλευράς κόστους, στο οποίο συμμετέχει ενεργά και η χώρα μας και το οποίο πρόκειται να τεθεί σε πιλοτική λειτουργία στο τέλος του 2018.</w:t>
      </w:r>
    </w:p>
    <w:p w:rsidR="00AC41BF" w:rsidRPr="00AC41BF" w:rsidP="00AC41BF">
      <w:pPr>
        <w:spacing w:after="0" w:line="240" w:lineRule="auto"/>
        <w:jc w:val="both"/>
      </w:pPr>
      <w:r w:rsidRPr="00AC41BF">
        <w:t xml:space="preserve">    Για την αντιμετώπιση της ενδοκοινοτικής απάτης Φ.Π.Α. μέχρι σήμερα οι Υπηρεσίες μας διενεργούν έρευνες σε στοχευμένες επιχειρήσεις με τη χρήση ειδικού λογισμικού ανάλυσης στοιχείων με κριτήρια επικινδυνότητας ( </w:t>
      </w:r>
      <w:r w:rsidRPr="00AC41BF">
        <w:rPr>
          <w:lang w:val="en-US"/>
        </w:rPr>
        <w:t>Risk</w:t>
      </w:r>
      <w:r w:rsidRPr="00AC41BF">
        <w:t xml:space="preserve"> </w:t>
      </w:r>
      <w:r w:rsidRPr="00AC41BF">
        <w:rPr>
          <w:lang w:val="en-US"/>
        </w:rPr>
        <w:t>Analysis</w:t>
      </w:r>
      <w:r w:rsidRPr="00AC41BF">
        <w:t>), όπως αυτά έχουν καθοριστεί από την διεθνή πρακτική, το οποίο έχει αναπτυχθεί από τη Δ.ΕΛ.</w:t>
      </w:r>
    </w:p>
    <w:p w:rsidR="009E73E3" w:rsidRPr="00EB71B4" w:rsidP="009E73E3">
      <w:pPr>
        <w:spacing w:after="0" w:line="240" w:lineRule="auto"/>
        <w:jc w:val="both"/>
        <w:rPr>
          <w:sz w:val="20"/>
          <w:szCs w:val="20"/>
        </w:rPr>
      </w:pPr>
    </w:p>
    <w:p w:rsidR="006B09E4" w:rsidRPr="00EB71B4" w:rsidP="00EF5E7D">
      <w:pPr>
        <w:tabs>
          <w:tab w:val="left" w:pos="4995"/>
        </w:tabs>
        <w:spacing w:line="240" w:lineRule="auto"/>
        <w:contextualSpacing/>
        <w:jc w:val="both"/>
        <w:rPr>
          <w:rFonts w:eastAsia="Meiryo"/>
          <w:b/>
          <w:sz w:val="20"/>
          <w:szCs w:val="20"/>
        </w:rPr>
      </w:pPr>
      <w:r w:rsidRPr="00EB71B4">
        <w:rPr>
          <w:sz w:val="20"/>
          <w:szCs w:val="20"/>
        </w:rPr>
        <w:t xml:space="preserve">                                                                                                                            </w:t>
      </w:r>
      <w:r w:rsidRPr="00EB71B4" w:rsidR="00177BAC">
        <w:rPr>
          <w:sz w:val="20"/>
          <w:szCs w:val="20"/>
        </w:rPr>
        <w:t xml:space="preserve"> </w:t>
      </w:r>
      <w:r w:rsidRPr="00EB71B4" w:rsidR="0056620A">
        <w:rPr>
          <w:sz w:val="20"/>
          <w:szCs w:val="20"/>
          <w:lang w:val="en-US"/>
        </w:rPr>
        <w:t xml:space="preserve">         </w:t>
      </w:r>
      <w:r w:rsidRPr="00EB71B4" w:rsidR="00177BAC">
        <w:rPr>
          <w:sz w:val="20"/>
          <w:szCs w:val="20"/>
        </w:rPr>
        <w:t xml:space="preserve"> </w:t>
      </w:r>
      <w:r w:rsidRPr="00EB71B4" w:rsidR="009E73E3">
        <w:rPr>
          <w:sz w:val="20"/>
          <w:szCs w:val="20"/>
        </w:rPr>
        <w:t xml:space="preserve"> </w:t>
      </w:r>
      <w:r w:rsidRPr="00EB71B4" w:rsidR="004C2A82">
        <w:rPr>
          <w:rFonts w:eastAsia="Meiryo"/>
          <w:b/>
          <w:sz w:val="20"/>
          <w:szCs w:val="20"/>
        </w:rPr>
        <w:t>Μ</w:t>
      </w:r>
      <w:r w:rsidRPr="00EB71B4">
        <w:rPr>
          <w:rFonts w:eastAsia="Meiryo"/>
          <w:b/>
          <w:sz w:val="20"/>
          <w:szCs w:val="20"/>
        </w:rPr>
        <w:t>Ε ΕΝΤΟΛΗ ΔΙΟΙΚΗΤΗ</w:t>
      </w:r>
      <w:r w:rsidRPr="00EB71B4" w:rsidR="00805C44">
        <w:rPr>
          <w:rFonts w:eastAsia="Meiryo"/>
          <w:b/>
          <w:sz w:val="20"/>
          <w:szCs w:val="20"/>
        </w:rPr>
        <w:tab/>
      </w:r>
      <w:r w:rsidRPr="00EB71B4" w:rsidR="00805C44">
        <w:rPr>
          <w:rFonts w:eastAsia="Meiryo"/>
          <w:b/>
          <w:sz w:val="20"/>
          <w:szCs w:val="20"/>
        </w:rPr>
        <w:tab/>
      </w:r>
    </w:p>
    <w:p w:rsidR="0004454F" w:rsidRPr="00EB71B4" w:rsidP="0004454F">
      <w:pPr>
        <w:ind w:left="3600" w:firstLine="720"/>
        <w:jc w:val="right"/>
        <w:rPr>
          <w:rFonts w:eastAsia="Meiryo"/>
          <w:b/>
          <w:sz w:val="20"/>
          <w:szCs w:val="20"/>
          <w:lang w:val="en-US"/>
        </w:rPr>
      </w:pPr>
      <w:r w:rsidRPr="00EB71B4">
        <w:rPr>
          <w:rFonts w:eastAsia="Meiryo"/>
          <w:b/>
          <w:sz w:val="20"/>
          <w:szCs w:val="20"/>
        </w:rPr>
        <w:t xml:space="preserve">Ο </w:t>
      </w:r>
      <w:r w:rsidRPr="00EB71B4" w:rsidR="00D5464F">
        <w:rPr>
          <w:rFonts w:eastAsia="Meiryo"/>
          <w:b/>
          <w:sz w:val="20"/>
          <w:szCs w:val="20"/>
        </w:rPr>
        <w:t>ΠΡΟΪΣΤΑΜΕΝ</w:t>
      </w:r>
      <w:bookmarkStart w:id="1" w:name="_GoBack"/>
      <w:bookmarkEnd w:id="1"/>
      <w:r w:rsidRPr="00EB71B4">
        <w:rPr>
          <w:rFonts w:eastAsia="Meiryo"/>
          <w:b/>
          <w:sz w:val="20"/>
          <w:szCs w:val="20"/>
        </w:rPr>
        <w:t>ΟΣ</w:t>
      </w:r>
      <w:r w:rsidRPr="00EB71B4" w:rsidR="00D5464F">
        <w:rPr>
          <w:rFonts w:eastAsia="Meiryo"/>
          <w:b/>
          <w:sz w:val="20"/>
          <w:szCs w:val="20"/>
        </w:rPr>
        <w:t xml:space="preserve"> </w:t>
      </w:r>
      <w:r w:rsidRPr="00EB71B4" w:rsidR="009C3AF1">
        <w:rPr>
          <w:rFonts w:eastAsia="Meiryo"/>
          <w:b/>
          <w:sz w:val="20"/>
          <w:szCs w:val="20"/>
        </w:rPr>
        <w:t xml:space="preserve">ΤΗΣ </w:t>
      </w:r>
      <w:r w:rsidRPr="00EB71B4" w:rsidR="00D5464F">
        <w:rPr>
          <w:rFonts w:eastAsia="Meiryo"/>
          <w:b/>
          <w:sz w:val="20"/>
          <w:szCs w:val="20"/>
        </w:rPr>
        <w:t>ΔΙΕΥΘΥΝΣΗΣ</w:t>
      </w:r>
    </w:p>
    <w:p w:rsidR="0004454F" w:rsidRPr="00EB71B4" w:rsidP="00EB71B4">
      <w:pPr>
        <w:tabs>
          <w:tab w:val="left" w:pos="8064"/>
        </w:tabs>
        <w:rPr>
          <w:rFonts w:eastAsia="Meiryo"/>
          <w:b/>
          <w:sz w:val="20"/>
          <w:szCs w:val="20"/>
        </w:rPr>
      </w:pPr>
      <w:r>
        <w:rPr>
          <w:rFonts w:eastAsia="Meiryo"/>
          <w:sz w:val="20"/>
          <w:szCs w:val="20"/>
          <w:lang w:val="en-US"/>
        </w:rPr>
        <w:t>AK</w:t>
      </w:r>
      <w:r>
        <w:rPr>
          <w:rFonts w:eastAsia="Meiryo"/>
          <w:sz w:val="20"/>
          <w:szCs w:val="20"/>
        </w:rPr>
        <w:t>ΡΙΒΕΣ  ΑΝΤΙΓΡΑΦΟ</w:t>
      </w:r>
      <w:r w:rsidRPr="00EB71B4">
        <w:rPr>
          <w:rFonts w:eastAsia="Meiryo"/>
          <w:b/>
          <w:sz w:val="20"/>
          <w:szCs w:val="20"/>
        </w:rPr>
        <w:tab/>
        <w:t>α.α.</w:t>
      </w:r>
    </w:p>
    <w:p w:rsidR="0056620A" w:rsidRPr="00EB71B4" w:rsidP="0056620A">
      <w:pPr>
        <w:tabs>
          <w:tab w:val="left" w:pos="6799"/>
        </w:tabs>
        <w:rPr>
          <w:rFonts w:eastAsia="Meiryo"/>
          <w:b/>
          <w:sz w:val="20"/>
          <w:szCs w:val="20"/>
        </w:rPr>
      </w:pPr>
      <w:r w:rsidRPr="00EB71B4">
        <w:rPr>
          <w:rFonts w:eastAsia="Meiryo"/>
          <w:b/>
          <w:sz w:val="20"/>
          <w:szCs w:val="20"/>
        </w:rPr>
        <w:tab/>
        <w:t xml:space="preserve">     ΠΕΤΡΙΔΟΥ ΧΡΙΣΤΙΝΑ</w:t>
      </w:r>
    </w:p>
    <w:p w:rsidR="00D5464F" w:rsidRPr="00EB71B4" w:rsidP="00844244">
      <w:pPr>
        <w:tabs>
          <w:tab w:val="left" w:pos="6286"/>
          <w:tab w:val="right" w:pos="9638"/>
        </w:tabs>
        <w:rPr>
          <w:rFonts w:eastAsia="Meiryo"/>
          <w:sz w:val="20"/>
          <w:szCs w:val="20"/>
        </w:rPr>
      </w:pPr>
      <w:r w:rsidRPr="00EB71B4">
        <w:rPr>
          <w:rFonts w:eastAsia="Meiryo"/>
          <w:sz w:val="20"/>
          <w:szCs w:val="20"/>
        </w:rPr>
        <w:t>Κ</w:t>
      </w:r>
      <w:r>
        <w:rPr>
          <w:rFonts w:eastAsia="Meiryo"/>
          <w:sz w:val="20"/>
          <w:szCs w:val="20"/>
        </w:rPr>
        <w:t>ΩΣΤΑΒΑΣΙΛΗ ΑΘΗΝΑ</w:t>
      </w:r>
      <w:r w:rsidRPr="00EB71B4" w:rsidR="00051AE9">
        <w:rPr>
          <w:rFonts w:eastAsia="Meiryo"/>
          <w:sz w:val="20"/>
          <w:szCs w:val="20"/>
        </w:rPr>
        <w:tab/>
      </w:r>
      <w:r w:rsidRPr="00EB71B4" w:rsidR="00051AE9">
        <w:rPr>
          <w:rFonts w:eastAsia="Meiryo"/>
          <w:sz w:val="20"/>
          <w:szCs w:val="20"/>
        </w:rPr>
        <w:tab/>
      </w:r>
      <w:r w:rsidRPr="00EB71B4" w:rsidR="00805C44">
        <w:rPr>
          <w:rFonts w:eastAsia="Meiryo"/>
          <w:sz w:val="20"/>
          <w:szCs w:val="20"/>
        </w:rPr>
        <w:tab/>
      </w:r>
      <w:r w:rsidRPr="00EB71B4" w:rsidR="00805C44">
        <w:rPr>
          <w:rFonts w:eastAsia="Meiryo"/>
          <w:sz w:val="20"/>
          <w:szCs w:val="20"/>
        </w:rPr>
        <w:tab/>
      </w:r>
    </w:p>
    <w:p w:rsidR="00021224" w:rsidRPr="00EB71B4" w:rsidP="006B09E4">
      <w:pPr>
        <w:spacing w:after="0" w:line="240" w:lineRule="auto"/>
        <w:rPr>
          <w:sz w:val="20"/>
          <w:szCs w:val="20"/>
        </w:rPr>
      </w:pPr>
    </w:p>
    <w:p w:rsidR="00EF5E7D" w:rsidRPr="00EB71B4" w:rsidP="00EF5E7D">
      <w:pPr>
        <w:spacing w:after="0" w:line="240" w:lineRule="auto"/>
        <w:rPr>
          <w:b/>
          <w:sz w:val="20"/>
          <w:szCs w:val="20"/>
          <w:u w:val="single"/>
        </w:rPr>
      </w:pPr>
      <w:r w:rsidRPr="00EB71B4">
        <w:rPr>
          <w:b/>
          <w:sz w:val="20"/>
          <w:szCs w:val="20"/>
          <w:u w:val="single"/>
        </w:rPr>
        <w:t>EΣΩΤΕΡΙΚΗ ΔΙΑΝΟΜΗ:</w:t>
      </w:r>
    </w:p>
    <w:p w:rsidR="00EF5E7D" w:rsidRPr="00EB71B4" w:rsidP="00EF5E7D">
      <w:pPr>
        <w:spacing w:after="0" w:line="240" w:lineRule="auto"/>
        <w:rPr>
          <w:b/>
          <w:sz w:val="20"/>
          <w:szCs w:val="20"/>
        </w:rPr>
      </w:pPr>
      <w:r w:rsidRPr="00EB71B4">
        <w:rPr>
          <w:b/>
          <w:sz w:val="20"/>
          <w:szCs w:val="20"/>
        </w:rPr>
        <w:t>1. ΤΜΗΜΑ  Α΄</w:t>
      </w:r>
    </w:p>
    <w:p w:rsidR="00EF5E7D" w:rsidRPr="00EB71B4" w:rsidP="00EF5E7D">
      <w:pPr>
        <w:spacing w:after="0" w:line="240" w:lineRule="auto"/>
        <w:rPr>
          <w:b/>
          <w:sz w:val="20"/>
          <w:szCs w:val="20"/>
        </w:rPr>
      </w:pPr>
      <w:r w:rsidRPr="00EB71B4">
        <w:rPr>
          <w:b/>
          <w:sz w:val="20"/>
          <w:szCs w:val="20"/>
        </w:rPr>
        <w:t xml:space="preserve">2.ΑΥΤΟΤΕΛΕΣ ΓΡΑΦΕΙΟ Α΄ΝΟΜΙΚΗΣ ΥΠΟΣΤΗΡΙΞΗΣ  </w:t>
      </w:r>
    </w:p>
    <w:p w:rsidR="00B66A22" w:rsidRPr="006B09E4" w:rsidP="006B09E4">
      <w:pPr>
        <w:spacing w:after="0" w:line="240" w:lineRule="auto"/>
        <w:rPr>
          <w:b/>
        </w:rPr>
      </w:pPr>
    </w:p>
    <w:sectPr w:rsidSect="00D5464F">
      <w:pgSz w:w="11906" w:h="16838" w:code="9"/>
      <w:pgMar w:top="1418" w:right="1134" w:bottom="1134" w:left="1134" w:header="567" w:footer="567"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00000000" w:usb2="00000000" w:usb3="00000000" w:csb0="000001FF"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20002A87" w:usb1="00000000" w:usb2="00000000" w:usb3="00000000" w:csb0="000001FF" w:csb1="00000000"/>
  </w:font>
  <w:font w:name="Meiryo">
    <w:panose1 w:val="020B0604030504040204"/>
    <w:charset w:val="80"/>
    <w:family w:val="swiss"/>
    <w:pitch w:val="variable"/>
    <w:sig w:usb0="E10102FF" w:usb1="EAC7FFFF" w:usb2="00010012" w:usb3="00000000" w:csb0="0002009F" w:csb1="00000000"/>
  </w:font>
  <w:font w:name="Calibri Light">
    <w:altName w:val="Segoe UI"/>
    <w:charset w:val="A1"/>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characterSpacingControl w:val="doNotCompress"/>
  <w:compat/>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436"/>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style>
  <w:style w:type="numbering" w:default="1" w:styleId="NoList">
    <w:name w:val="No List"/>
    <w:uiPriority w:val="99"/>
    <w:semiHidden/>
    <w:unhideWhenUsed/>
  </w:style>
  <w:style w:type="paragraph" w:styleId="BalloonText">
    <w:name w:val="Balloon Text"/>
    <w:basedOn w:val="Normal"/>
    <w:link w:val="Char"/>
    <w:uiPriority w:val="99"/>
    <w:semiHidden/>
    <w:unhideWhenUsed/>
    <w:rsid w:val="00F30935"/>
    <w:pPr>
      <w:spacing w:after="0" w:line="240" w:lineRule="auto"/>
    </w:pPr>
    <w:rPr>
      <w:rFonts w:ascii="Segoe UI" w:hAnsi="Segoe UI" w:cs="Segoe UI"/>
      <w:sz w:val="18"/>
      <w:szCs w:val="18"/>
    </w:rPr>
  </w:style>
  <w:style w:type="character" w:customStyle="1" w:styleId="Char">
    <w:name w:val="Κείμενο πλαισίου Char"/>
    <w:basedOn w:val="DefaultParagraphFont"/>
    <w:link w:val="BalloonText"/>
    <w:uiPriority w:val="99"/>
    <w:semiHidden/>
    <w:rsid w:val="00F30935"/>
    <w:rPr>
      <w:rFonts w:ascii="Segoe UI" w:hAnsi="Segoe UI" w:cs="Segoe UI"/>
      <w:sz w:val="18"/>
      <w:szCs w:val="18"/>
    </w:rPr>
  </w:style>
  <w:style w:type="table" w:styleId="TableGrid">
    <w:name w:val="Table Grid"/>
    <w:basedOn w:val="TableNormal"/>
    <w:uiPriority w:val="39"/>
    <w:rsid w:val="00E75122"/>
  </w:style>
  <w:style w:type="paragraph" w:styleId="Header">
    <w:name w:val="header"/>
    <w:basedOn w:val="Normal"/>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DefaultParagraphFont"/>
    <w:link w:val="Header"/>
    <w:uiPriority w:val="99"/>
    <w:rsid w:val="00432B26"/>
  </w:style>
  <w:style w:type="paragraph" w:styleId="Footer">
    <w:name w:val="footer"/>
    <w:basedOn w:val="Normal"/>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DefaultParagraphFont"/>
    <w:link w:val="Footer"/>
    <w:uiPriority w:val="99"/>
    <w:rsid w:val="00432B26"/>
  </w:style>
  <w:style w:type="character" w:styleId="Hyperlink">
    <w:name w:val="Hyperlink"/>
    <w:basedOn w:val="DefaultParagraphFont"/>
    <w:uiPriority w:val="99"/>
    <w:unhideWhenUsed/>
    <w:rsid w:val="005346B0"/>
    <w:rPr>
      <w:color w:val="0563C1"/>
      <w:u w:val="single"/>
    </w:rPr>
  </w:style>
  <w:style w:type="paragraph" w:customStyle="1" w:styleId="2">
    <w:name w:val="Διεύθυνση παραλήπτη 2"/>
    <w:basedOn w:val="Normal"/>
    <w:rsid w:val="00CB6EEC"/>
    <w:pPr>
      <w:spacing w:before="60" w:after="0" w:line="240" w:lineRule="auto"/>
      <w:ind w:left="5387" w:hanging="851"/>
    </w:pPr>
    <w:rPr>
      <w:rFonts w:ascii="Arial" w:eastAsia="Times New Roman" w:hAnsi="Arial"/>
      <w:b/>
      <w:sz w:val="20"/>
      <w:szCs w:val="20"/>
      <w:lang w:eastAsia="el-GR"/>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Relationship><Relationship Id="rId2" Type="http://schemas.openxmlformats.org/officeDocument/2006/relationships/webSettings" Target="webSettings.xml"></Relationship><Relationship Id="rId3" Type="http://schemas.openxmlformats.org/officeDocument/2006/relationships/fontTable" Target="fontTable.xml"></Relationship><Relationship Id="rId4" Type="http://schemas.openxmlformats.org/officeDocument/2006/relationships/image" Target="media/image1.jpeg"></Relationship><Relationship Id="rId5" Type="http://schemas.openxmlformats.org/officeDocument/2006/relationships/image" Target="media/image2.jpeg"></Relationship><Relationship Id="rId6" Type="http://schemas.openxmlformats.org/officeDocument/2006/relationships/styles" Target="styles.xml"></Relationship></Relationships>
</file>

<file path=docProps/app.xml><?xml version="1.0" encoding="utf-8"?>
<Properties xmlns="http://schemas.openxmlformats.org/officeDocument/2006/extended-properties" xmlns:vt="http://schemas.openxmlformats.org/officeDocument/2006/docPropsVTypes">
  <Template>Normal</Template>
  <TotalTime>78</TotalTime>
  <Pages>1</Pages>
  <Words>413</Words>
  <Characters>2234</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user</cp:lastModifiedBy>
  <cp:revision>18</cp:revision>
  <cp:lastPrinted>2018-06-29T06:44:00Z</cp:lastPrinted>
  <dcterms:created xsi:type="dcterms:W3CDTF">2018-06-28T07:05:00Z</dcterms:created>
  <dcterms:modified xsi:type="dcterms:W3CDTF">2018-06-29T07:20:00Z</dcterms:modified>
</cp:coreProperties>
</file>